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12.2007.195 vom 7. Oktober 2008</w:t>
      </w:r>
    </w:p>
    <w:p>
      <w:r>
        <w:t>TI Tribunale d'appello, 2008-10-07, IT</w:t>
      </w:r>
    </w:p>
    <w:p>
      <w:r>
        <w:rPr>
          <w:b/>
        </w:rPr>
        <w:t xml:space="preserve">Quelle: </w:t>
      </w:r>
      <w:r>
        <w:t>https://mcp.opencaselaw.ch/entscheid/ti_gerichte_12.2007.195</w:t>
      </w:r>
    </w:p>
    <w:p>
      <w:r>
        <w:t>FR: TI_GERICHTE 12.2007.195 du 7 octobre 2008</w:t>
      </w:r>
    </w:p>
    <w:p>
      <w:r>
        <w:t>IT: TI_GERICHTE 12.2007.195 del 7 ottobre 2008</w:t>
      </w:r>
    </w:p>
    <w:p>
      <w:pPr>
        <w:pStyle w:val="Heading2"/>
      </w:pPr>
      <w:r>
        <w:t>Regeste</w:t>
      </w:r>
    </w:p>
    <w:p>
      <w:r>
        <w:t>Compravendita di autoveicolo, mora di venditore e di acquirente, ripresa di altro autoveicolo</w:t>
      </w:r>
    </w:p>
    <w:p>
      <w:pPr>
        <w:pStyle w:val="Heading2"/>
      </w:pPr>
      <w:r>
        <w:t>Erwägungen</w:t>
      </w:r>
    </w:p>
    <w:p>
      <w:r>
        <w:rPr>
          <w:b/>
        </w:rPr>
        <w:t>E. 7</w:t>
      </w:r>
    </w:p>
    <w:p>
      <w:r>
        <w:t>Nel suo appello la convenuta ritiene che il Pretore le ha negato a torto il risarcimento del danno pari al 15% del prezzo di compravendita della Chrysler, ossia fr. 9'112,50, giacché il contratto è stato rescisso dall'acquirente e, di conseguenza, diventava irrilevante sapere se le condizioni poste dall'art. 6.2 delle CGV fossero o meno rispettate. Orbene, per quanto traspare dagli atti, la convenuta con scritto 25 ottobre 2005 ha diffidato l'acquirente a voler adempiere il contratto ritirando il veicolo comperato nel termine di soli 8 giorni, anziché dei 30 previsti (doc. D). A quell'epoca il contratto di compravendita poteva comunque ritenersi risolto validamente per i motivi che sono stati ricordati qui sopra al considerando 6.1. Dagli atti non risulta neppure che l’acquirente fu diffidato a ritirare l’automobile prima dell’11 ottobre 2005 (doc. C). Parimenti, dal comportamento concludente in causa della convenuta, che ha ammesso la risoluzione del contratto, essa non poteva ragionevolmente avanzare delle pretese di risarcimento che discendevano dall'inadempimento del contratto. Il Pretore ha quindi correttamente respinto la richiesta della convenuta.</w:t>
      </w:r>
    </w:p>
    <w:p>
      <w:r>
        <w:rPr>
          <w:b/>
        </w:rPr>
        <w:t>E. 8</w:t>
      </w:r>
    </w:p>
    <w:p>
      <w:r>
        <w:t>La convenuta ha da ultimo chiesto che le fosse riconosciuta la commissione di vendita dell'Opel Astra, pari a fr. 1'021,95 (cfr. appello pag. 3 e 4). Orbene, una simile richiesta non può trovare accoglimento nell'ambito di una liquidazione di un rapporto contrattuale discendente dall'art. 109 cpv. 2 CO, perché solo il danno risultante dall'”interesse negativo “ del contratto può essere risarcito, ovvero possono essere indennizzati solo quei pregiudizi che possono ricollocare i contraenti nella stessa situazione patrimoniale prima della conclusione del contratto ( Thier , op. cit. N. 4 all'art. 109; Thévenoz , op. cit. N. 14 all'art. 109). La convenuta non avrebbe avuto alcun diritto a questa pretesa se il contratto di compravendita avente per oggetto la Chrysler non fosse stato concluso. Il mancato guadagno esorbita dal novero dei danni che possono essere risarciti ai sensi dell'art. art. 109 cpv. 2 CO ( Thier , op. cit., loc. cit. con rif.). Del pari non v'è traccia di un accordo fra le parti, dal quale risulta che fu prevista una provvigione per la convenuta (art. 412 segg. CO) discendente dalla vendita della Opel Astra, né la convenuta lo pretende. Costei apoditticamente sostiene che la sua richiesta deriva da un uso fra commercianti in materia di compravendita di automobili. Per completezza di motivazione va soggiunto che a questa Camera non risulta che la Confederazione abbia autorizzato i Cantoni a legiferare in materia, né tantomeno sono noti questi usi nel Cantone Ticino (art. 5 cpv. 1 e 2 CC). Spettava semmai alla convenuta recare la prova di questi accordi e di questo uso locale, ciò che non è avvenuto.</w:t>
      </w:r>
    </w:p>
    <w:p>
      <w:r>
        <w:rPr>
          <w:b/>
        </w:rPr>
        <w:t>E. 9</w:t>
      </w:r>
    </w:p>
    <w:p>
      <w:r>
        <w:t>In conclusione la convenuta, in adempimento della liquidazione dei rapporti contrattuali di compravendita, dovrà rifondere all'attore fr. 13'997,55 (fr. 15'015.-  ./. fr. 1'017,45). L'appello dell'attore viene quindi accolto parzialmente entro questi limiti, mentre quello della convenuta, rivelatosi info ndato, deve essere respinto. Le spese e le ripetibili del giudizio di prima istanza seguono la reciproca soccombenza. Per il giudizio sull'appello della convenuta, le spese e le tasse vanno completamente poste a suo carico, mentre non vanno riconosciute ripetibili all'attore, che non ha presentato osservazioni al gravame. In ordine all'appello dell'attore, le spese e le ripetibili, seguono la reciproca soccombenza (art. 148 CPC). Per i quali motivi richiamati per le spese l’art. 148 CPC, la LTG e la TOA pronuncia: I. L’appello</w:t>
      </w:r>
    </w:p>
    <w:p>
      <w:r>
        <w:rPr>
          <w:b/>
        </w:rPr>
        <w:t>E. 13</w:t>
      </w:r>
    </w:p>
    <w:p>
      <w:r>
        <w:t>settembre 2007 di AP 1, __________, è respinto. II. Le spese della procedura di appello consistenti in: a) tassa di giustizia      fr. 400.- b) spese                         fr. 50.- totale                              fr. 450.- sono poste a carico di AP 1. Non si assegnano ripetibili. III. L’appello 13 settembre 2007 di AO 1 è parzialmente accolto. Di conseguenza la sentenza 22 agosto 2007 del Pretore della Giurisdizione di Mendrisio-Nord è così riformata: 1.   La petizione è parzialmente accolta. Di conseguenza, AP 1, __________ è tenuta a versare a AO 1 l'importo di fr. 13'997,55, oltre interessi al 5% dal 29 agosto 2005 . 2.   Le spesse di fr. 150.- e la tassa di giustizia di fr. 800.-, sono poste a carico di AO 1 nella misura di 1/10, mentre per 9/10 vengono assunte da AP 1, che rifonderà all'attore fr. 1'200.- per ripetibili ridotte. IV. Le spese della procedura di appello consistenti in: a) tassa di giustizia      fr. 400.- b) spese                         fr. 50.- totale                              fr. 450.- già anticipate dall’appellante AO 1 restano a suo carico nella misura di 2/5, e a carico di 3/5 per la parte appellata AP 1. Quest’ultima rifonderà alla parte appellante fr. 300.- a titolo di ripetibili ridotte di appello. V. Intimazione: - - Comunicazione alla Pretura della giurisdizione di Mendrisio nord. Per la seconda Camera civile del Tribunale d’appello La presidente                                                        Il segretario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