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12.2007.173 vom 13. August 2008</w:t>
      </w:r>
    </w:p>
    <w:p>
      <w:r>
        <w:t>TI Tribunale d'appello, 2008-08-13, IT</w:t>
      </w:r>
    </w:p>
    <w:p>
      <w:r>
        <w:rPr>
          <w:b/>
        </w:rPr>
        <w:t xml:space="preserve">Quelle: </w:t>
      </w:r>
      <w:r>
        <w:t>https://mcp.opencaselaw.ch/entscheid/ti_gerichte_12.2007.173</w:t>
      </w:r>
    </w:p>
    <w:p>
      <w:r>
        <w:t>FR: TI_GERICHTE 12.2007.173 du 13 août 2008</w:t>
      </w:r>
    </w:p>
    <w:p>
      <w:r>
        <w:t>IT: TI_GERICHTE 12.2007.173 del 13 agosto 2008</w:t>
      </w:r>
    </w:p>
    <w:p>
      <w:pPr>
        <w:pStyle w:val="Heading2"/>
      </w:pPr>
      <w:r>
        <w:t>Regeste</w:t>
      </w:r>
    </w:p>
    <w:p>
      <w:r>
        <w:t>Contratto di fornitura di birra - mutuo - cessione di contratto</w:t>
      </w:r>
    </w:p>
    <w:p>
      <w:pPr>
        <w:pStyle w:val="Heading2"/>
      </w:pPr>
      <w:r>
        <w:t>Erwägungen</w:t>
      </w:r>
    </w:p>
    <w:p>
      <w:r>
        <w:rPr>
          <w:b/>
        </w:rPr>
        <w:t>E. 13</w:t>
      </w:r>
    </w:p>
    <w:p>
      <w:r>
        <w:t>maggio 2008 inc. 12.2007.80 consid. 7; 31 ottobre 2001 inc. 12.2001.6 consid. 3.1.1; Cocchi/Trezzini , CPC-TI, Lugano, 2000, m. 4 e 43 all'art. 90). La clausola del trapasso del contratto non era peraltro subordinata a un'accettazione esplicita del nuovo subentrante nel contratto di fornitura. Bastava una comunicazione – scritta – all'attrice, atteso che contrattualmente quest’ultima si era già impegnata ad accettare l’eventuale successore in diritto del convenuto (doc. A ad sezione III art. 4 cpv. 3). Così stando le cose si deve ritenere che, pur difettando la forma scritta, M__________ Sagl era subentrata nel contratto di fornitura di birra a decorrere dal mese di giugno del 2003 e l'attrice, che ha continuato a fornire birra allo stesso esercizio pubblico con un gerente diverso, non poteva non saperlo, posto altresì che il suo rappresentante ne doveva essere al corrente. L’attrice, quantomeno tacitamente, ha quindi accettato il trapasso del contratto di fornitura a M__________ Sagl. In base al conteggio agli atti, al convenuto possono pertanto essere addebitate solo le forniture di birra fra il 31 ottobre 2002 e il 30 aprile 2003, per un totale di fr. 299.05 (cfr. doc. D). La censura di nullità del contratto, sollevata dal convenuto per la prima volta in appello, può rimanere indecisa, anche perché, nella misura in cui la stessa fosse stata accolta, la pretesa di fr. 299.05 dell’attrice poteva essere ancorata all'art. 62 CO. Infatti, colui che utilizza nel suo proprio interesse una prestazione che non gli era destinata o che non gli è stata fornita per uno scopo particolare, dovrà risarcire l'autore della prestazione conformemente alle regole dell'indebito arricchimento (art. 62 CO; DTF 119 II 43). 7.2 Per quel che concerne il contratto di mutuo, il convenuto non ha invece recato la prova che fosse stato ceduto a terzi. P__________ C__________ Frigerio ha riferito di non aver avuto conoscenza del contratto di mutuo esistente fra l'attrice e il convenuto e neppure sapeva che avrebbe dovuto subingredire in questo negozio (verbale cit. pag. 9). Per il che, il convenuto è tenuto a rimborsare il mutuo nella misura richiesta nella petizione, ovvero per la somma di fr. 32'590.-. Anche in questa evenienza non è necessario stabilire se il contratto di mutuo fosse o meno inficiato di nullità come pretende l'appellante. Qualora lo fosse stato egli sarebbe comunque tenuto a rimborsare il mutuo in forza delle conseguenze scaturenti dalla nullità del contratto. In causa non è controverso che al convenuto, responsabile solidale con la società __________ Sagl, poi fallita, l'attrice ha erogato una somma di fr. 36'500.-, che è stata rimborsata nella misura di fr. 3'910.-. L’appellante è quindi tenuto a restituire all'attrice la somma residua di fr. 32'950.-. In casi del genere, per dottrina e giurisprudenza, le parti sono tenute reciprocamente a restituire le prestazioni che hanno ottenuto in forza alle norme che governano l'indebito arricchimento come se il contratto non fosse mai stato perfezionato ( von Tuhr/Peter , Allgemeiner Teil des Schweizerischen Obligationenenrechts Bd. I, pag. 232; Guillod/Steffen , Commentaire Romand CO I, N. 95 agli art. 19/20; Herzog , Kurzkommentar OR, N. 12 all'art. 20). 8. Visto quanto precede, l'appello è parzialmente accolto. Le spese e la tassa di giustizia in sede di appello e davanti al Pretore seguono la reciproca soccombenza (art. 148 CPC). Per i quali motivi richiamati per le spese l’art. 148 CPC, la LTG e la TOA pronuncia: I. L’appello 22 agosto 2007 di AP 1 è parzialmente accolto . Di conseguenza la sentenza 6 luglio 2007 del Pretore del Distretto di Bellinzona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