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12.2006.86 vom 25. April 2006</w:t>
      </w:r>
    </w:p>
    <w:p>
      <w:r>
        <w:t>TI Tribunale d'appello, 2006-04-25, IT</w:t>
      </w:r>
    </w:p>
    <w:p>
      <w:r>
        <w:rPr>
          <w:b/>
        </w:rPr>
        <w:t xml:space="preserve">Quelle: </w:t>
      </w:r>
      <w:r>
        <w:t>https://mcp.opencaselaw.ch/entscheid/ti_gerichte_12.2006.86</w:t>
      </w:r>
    </w:p>
    <w:p>
      <w:r>
        <w:t>FR: TI_GERICHTE 12.2006.86 du 25 avril 2006</w:t>
      </w:r>
    </w:p>
    <w:p>
      <w:r>
        <w:t>IT: TI_GERICHTE 12.2006.86 del 25 aprile 2006</w:t>
      </w:r>
    </w:p>
    <w:p>
      <w:pPr>
        <w:pStyle w:val="Heading2"/>
      </w:pPr>
      <w:r>
        <w:t>Regeste</w:t>
      </w:r>
    </w:p>
    <w:p>
      <w:r>
        <w:t>Azione di inesistenza del debito non ricevibile per far cancellare l'iscrizione all'UE di precetto pagato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novembre 2005 (doc. A) e non si vede pertanto quale interesse giuridico e immediato l¿attore potesse far valere con l¿azione 10 dicembre 2005, potendo provare l¿avvenuta estinzione del debito (doc. 7, 8) e non trovandosi quindi in una situazione di necessità (Stoffel , Voies d¿exécution, Berne 2002, pag. 100 n. 69); che lo scopo di impedire a terzi la comunicazione dell¿esecuzione pagata (appello, pag. 6) non costituisce, contrariamente a quanto sostiene l¿appellante, un interesse giuridico tale da rendere ricevibile l¿azione in accertamento negativo prevista dall¿art. 85a LEF (DTF 125 III 149 consid. 2d pag. 153); che il presupposto dell¿interesse giuridico immediato decade in ogni modo allorquando il precettante ha ritirato l¿esecuzione in questione (DTF 127 III 41 consid. 2 e 4), come è appunto il caso nella fattispecie; che, di conseguenza, l¿azione promossa il 10 dicembre 2005 era sin dall¿inizio sprovvista di interesse giuridico immediato e a giusta ragione il Pretore l¿ha dichiarata irricevibile, dopo aver constatato anche l¿intervenuto ritiro dell¿esecuzione in corso di causa (DTF 127 III consid. 4c pag. 43); che non vi è motivo di modificare il dispositivo pretorile sugli oneri processuali, l¿attore avendo proposto a torto e non senza leggerezza un¿azione giudiziaria irricevibile, indipendentemente dal successivo ritiro dell¿esecuzione da parte del convenuto; che l¿appello, manifestamente infondato, può essere evaso con la procedura semplificata dell'art. 313bis CPC senza necessità di intimazione alla controparte; che le spese, commisurate al valore di causa (art. 17 LTG) seguono la soccombenza (art. 148 cpv. 1 CPC), mentre non si giustifica di assegnare ripetibili alla parte convenuta, alla quale il ricorso non è nemmeno stato notificato; Per i quali motivi dichiara e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