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12.2006.111 vom 9. Juli 2007</w:t>
      </w:r>
    </w:p>
    <w:p>
      <w:r>
        <w:t>TI Tribunale d'appello, 2007-07-09, IT</w:t>
      </w:r>
    </w:p>
    <w:p>
      <w:r>
        <w:rPr>
          <w:b/>
        </w:rPr>
        <w:t xml:space="preserve">Quelle: </w:t>
      </w:r>
      <w:r>
        <w:t>https://mcp.opencaselaw.ch/entscheid/ti_gerichte_12.2006.111</w:t>
      </w:r>
    </w:p>
    <w:p>
      <w:r>
        <w:t>FR: TI_GERICHTE 12.2006.111 du 9 juillet 2007</w:t>
      </w:r>
    </w:p>
    <w:p>
      <w:r>
        <w:t>IT: TI_GERICHTE 12.2006.111 del 9 luglio 2007</w:t>
      </w:r>
    </w:p>
    <w:p>
      <w:pPr>
        <w:pStyle w:val="Heading2"/>
      </w:pPr>
      <w:r>
        <w:t>Regeste</w:t>
      </w:r>
    </w:p>
    <w:p>
      <w:r>
        <w:t>Appalto - difetti - ricusa - attribuzione del minor valore</w:t>
      </w:r>
    </w:p>
    <w:p>
      <w:pPr>
        <w:pStyle w:val="Heading2"/>
      </w:pPr>
      <w:r>
        <w:t>Erwägungen</w:t>
      </w:r>
    </w:p>
    <w:p>
      <w:r>
        <w:rPr>
          <w:b/>
        </w:rPr>
        <w:t>E. 9</w:t>
      </w:r>
    </w:p>
    <w:p>
      <w:r>
        <w:t>La parte convenuta chiede infine che le spese da lei assunte a titolo di patrocinio legale preprocessuale, di fr. 3'610.90, vengano a loro volta poste in compensazione al credito vantato dalla controparte. La richiesta è infondata. Secondo la giurisprudenza le spese legali di assistenza precedenti l'apertura della causa, non comprese nelle ripetibili secondo la procedura civile, costituiscono in effetti una posta di danno, solo a condizione che l'assistenza legale sia giustificata, necessaria e appropriata (DTF 117 II 101 consid. 6b; ICCTF 12 febbraio 2003 4C.288/2002; Cocchi/Trezzini , op. cit., m. 1 ad art. 150; II CCA 13 ottobre 2005 inc. n. 12.2004.163, 24 aprile 2007 inc. n. 12.2006.77). Ora, nel caso di specie, tali condizioni non ricorrono. A parte il fatto che l’attività del legale della convenuta era risultata alquanto limitata - e come tale, secondo la procedura cantonale, dovrebbe di principio essere compresa nelle ripetibili - si osserva in effetti come la stessa, prestata tutto sommato in una vertenza non particolarmente complessa, di fatto non si era nemmeno rivelata appropriata, se si pon mente all’esito della lite, del tutto sfavorevole alla sua cliente. Di qui l’infondatezza della pretesa.</w:t>
      </w:r>
    </w:p>
    <w:p>
      <w:r>
        <w:rPr>
          <w:b/>
        </w:rPr>
        <w:t>E. 10</w:t>
      </w:r>
    </w:p>
    <w:p>
      <w:r>
        <w:t>Ne discende la reiezione del gravame e la conseguente conferma della sentenza di prime cure. La tassa di giustizia, le spese e le ripetibili della procedura d’appello, calcolate su di un valore litigioso di fr. 30'006.-, seguono la soccombenza (art. 148 CPC). Per i quali motivi, richiamati gli art. 148 CPC e la TG dichiara e pronuncia I. L’appello 17 maggio 2006 di AP 1 è respinto. II. Le spese della procedura d’appello consistenti in: a) tassa di giustizia                                    fr.    700.- b) spese                                                      fr. 50.- Totale                                                           fr. 750.- da anticiparsi dall’appellante, restano a suo carico con l’obbligo di rifondere alla parte appellata fr. 1’500.- per ripetibili. III. Intimazione: - - Comunicazione alla Pretura del distretto di Lugano, Sezione 2 terzi implicati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