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12.2005.64 vom 11. Mai 2006</w:t>
      </w:r>
    </w:p>
    <w:p>
      <w:r>
        <w:t>TI Tribunale d'appello, 2006-05-11, IT</w:t>
      </w:r>
    </w:p>
    <w:p>
      <w:r>
        <w:rPr>
          <w:b/>
        </w:rPr>
        <w:t xml:space="preserve">Quelle: </w:t>
      </w:r>
      <w:r>
        <w:t>https://mcp.opencaselaw.ch/entscheid/ti_gerichte_12.2005.64</w:t>
      </w:r>
    </w:p>
    <w:p>
      <w:r>
        <w:t>FR: TI_GERICHTE 12.2005.64 du 11 mai 2006</w:t>
      </w:r>
    </w:p>
    <w:p>
      <w:r>
        <w:t>IT: TI_GERICHTE 12.2005.64 del 11 maggio 2006</w:t>
      </w:r>
    </w:p>
    <w:p>
      <w:pPr>
        <w:pStyle w:val="Heading2"/>
      </w:pPr>
      <w:r>
        <w:t>Regeste</w:t>
      </w:r>
    </w:p>
    <w:p>
      <w:r>
        <w:t>lodo - ricorso per nullità - violazione del diritto di essere sentiti - differenza tra garanzia pura e garanzia analoga a una fideiussione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Ne discende la reiezione del gravame, del tutto infondato. La tassa di giustizia, le spese e le ripetibili seguono la soccombenza (art. 148 CPC). Per i quali motivi, richiamati gli art. 148 CPC e la TG dichiara e pronuncia I. Il ricorso per nullità 21 marzo 2005 dello RI 1 è respinto. II. Le spese della procedura ricorsuale consistenti in: a) tassa di giustizia                                    fr.      4’950.- b) spese                                                      fr. 50.- Totale                                                           fr. 5’000.- da anticiparsi dal ricorrente, restano a suo carico con l’obbligo di rifondere alle resistenti fr. 50’000.- per ripetibili. III. Intimazione: - -     , per sé e per  l’ Comunicazione al presidente del tribunale arbitrale, terzi implicati AR 1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