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12.2004.87 vom 5. Juli 2005</w:t>
      </w:r>
    </w:p>
    <w:p>
      <w:r>
        <w:t>TI Tribunale d'appello, 2005-07-05, IT</w:t>
      </w:r>
    </w:p>
    <w:p>
      <w:r>
        <w:rPr>
          <w:b/>
        </w:rPr>
        <w:t xml:space="preserve">Quelle: </w:t>
      </w:r>
      <w:r>
        <w:t>https://mcp.opencaselaw.ch/entscheid/ti_gerichte_12.2004.87</w:t>
      </w:r>
    </w:p>
    <w:p>
      <w:r>
        <w:t>FR: TI_GERICHTE 12.2004.87 du 5 juillet 2005</w:t>
      </w:r>
    </w:p>
    <w:p>
      <w:r>
        <w:t>IT: TI_GERICHTE 12.2004.87 del 5 luglio 2005</w:t>
      </w:r>
    </w:p>
    <w:p>
      <w:pPr>
        <w:pStyle w:val="Heading2"/>
      </w:pPr>
      <w:r>
        <w:t>Regeste</w:t>
      </w:r>
    </w:p>
    <w:p>
      <w:r>
        <w:t>architetto - revoca del mandato - onorario - calcolo - nuovi fatti - irricevibilità</w:t>
      </w:r>
    </w:p>
    <w:p>
      <w:pPr>
        <w:pStyle w:val="Heading2"/>
      </w:pPr>
      <w:r>
        <w:t>Erwägungen</w:t>
      </w:r>
    </w:p>
    <w:p>
      <w:r>
        <w:rPr>
          <w:b/>
        </w:rPr>
        <w:t>E. 5</w:t>
      </w:r>
    </w:p>
    <w:p>
      <w:r>
        <w:t>Con l’appello del 10 maggio 2004 AP 1 chiede la riforma del giudizio impugnato nel senso che la petizione sia accolta per un importo di fr. 54'598,10 oltre interessi, in subordine per un importo massimo di fr. 76'855,30 oltre interessi. L’appellante contesta la base di calcolo dell’onorario sostenendo che l’avvenuta edificazione dell’immobile imporrebbe di fondarsi sui costi effettivi della costruzione, pari a fr. 1'800'000.-, non invece sulla stima dei costi, superata dal consuntivo. Nelle osservazioni del 14 giugno 2004 AO 1 propone la reiezione dell'appello.</w:t>
      </w:r>
    </w:p>
    <w:p>
      <w:r>
        <w:rPr>
          <w:b/>
        </w:rPr>
        <w:t>E. 6</w:t>
      </w:r>
    </w:p>
    <w:p>
      <w:r>
        <w:t>In questa sede non è contestato che, a seguito della revoca dell’incarico, l’architetto ha diritto alla mercede per il lavoro eseguito fino al momento della cessazione del contratto. Neppure v’è contestazione di principio sul modo di calcolare l’onorario adottato dal Pretore. Sono invece litigiosi il costo determinante per il calcolo e la percentuale delle prestazioni parziali eseguite dal progettista. Il Pretore – che ha fatto proprie le conclusioni del perito -, per determinare l’onorario, ha fatto capo ai principi indicati dalla norma SIA 102, il cui art. 8.5 prevede che se un progetto non viene realizzato l’onorario delle prestazioni effettuate si calcola in base all’ultima stima dei costi. Ha quindi individuato tali costi in fr. 2'140'000.-, somma indicata nella domanda di costruzione. Dedotti gli importi non determinanti per il calcolo dell’onorario, né è risultato un importo di fr. 2'000'000, che ha utilizzato quale base per la successiva valutazione. L’appellante sostiene che il modo di procedere del Pretore sarebbe errato, non potendosi applicare l’art. 8.5 della norma SIA 102 perché in realtà la costruzione è stata realizzata e di conseguenza la base di calcolo non sarebbe la stima dei costi, bensì il costo effettivo della costruzione, di 1,8 milioni di franchi. L’appellante adduce per la prima volta in questa sede che il costo della costruzione è stato di fr. 1'800'000.-. Trattasi di un fatto nuovo, la cui adduzione in sede di appello è inammissibile (art. 312 cpv. 1 lett. b CPC). L’omessa allegazione di tale fatto neppure può essere sanata facendo capo alle dichiarazioni del teste S__________ – il quale peraltro indicava una cifra complessiva di “circa” fr. 1'550'000 per lo stabile e fr. 300'000.- per lavori esterni (teste __________ S__________, verbale 4 luglio 2000) - perché possono essere sottoposte a prova unicamente le fattispecie debitamente allegate ( Cocchi/Trezzini , CPC-TI, App., ad art. 78 m. 41). In quanto basato su quest’argomento l’appello si rivela pertanto irricevibile. Va comunque ricordato che il perito giudiziario, accertato che l’edificio costruito corrisponde a quanto progettato AO 1 perché ne mantiene sostanzialmente l’impostazione progettuale elaborata nelle fasi di progetto e di preparazione all’esecuzione, ha poi rilevato che ne differisce comunque per caratteristiche tecniche, economiche e costruttive dovute a scelte effettuate da altri in fase esecutiva. Siffatte differenze impongono di attenersi alla situazione in essere al momento in cui i rapporti tra le parti sono stati interrotti e non a quella successiva, sulla cui evoluzione il progettista non ha più avuto influsso alcuno. L’appellante sostiene invero che sarebbe determinante l’importo di fr. 1'800'000.- stabilito dalle parti in occasione della riunione del 1 febbraio 1995 (doc. CC). Si rileva in proposito che tale indicazione è stata superata dalla domanda di costruzione, di data posteriore alla menzionata riunione, nella quale è stato indicato un costo dell’opera di fr. 2'140'000.-. Firmando il modulo della domanda di costruzione dov’era inserito tale preventivo di spesa, il convenuto ne ha evidentemente accettato il contenuto. Neppure merita tutela l’argomento che dalla cifra indicata nella domanda di costruzione sarebbero da dedurre i costi di fr. 320'000.- per l’esecuzione del piano cantinato che non è stato realizzato. In effetti anche tale variante è stata valutata e approfondita dal progettista e quindi dev’essere anch’essa remunerata. Peraltro, neppure vi sono elementi per poter individuare l’origine dell’aumento dei costi da 1'800'000.- a fr. 2'140'000.- nella questione del piano cantinato. Da quanto precede discende che quale base per il calcolo dell’onorario dell’architetto è da confermare l’importo stabilito dal Pretore in fr. 2’000'000.-.</w:t>
      </w:r>
    </w:p>
    <w:p>
      <w:r>
        <w:rPr>
          <w:b/>
        </w:rPr>
        <w:t>E. 7</w:t>
      </w:r>
    </w:p>
    <w:p>
      <w:r>
        <w:t>Rimangono ora da esaminare le censure in merito all’estensione delle prestazioni effettivamente fornite dall’attore, determinate dal Pretore nel 51% del totale, percentuale contestata dall’appellante, per il quale sarebbe stato eseguito solo il 43,5% perché il perito avrebbe erroneamente tenuto conto nel proprio calcolo della prestazione “piani esecutivi definitivi“, malgrado avesse accertato che non era stata eseguita. Su questo punto l’appello merita tutela. In effetti, nella propria nota d’onorario 28 dicembre 1995 (doc. WW), l’attore medesimo aveva indicato che la prestazione 4.2.5 non era stata eseguita (preventivo 0%), sicché neppure poteva essergliene riconosciuta la remunerazione, che neppure aveva chiesto. Di conseguenza, la fase di progetto definitivo, che anche il perito indica eseguita solo parzialmente (perizia pag. 12) ammonta al 18.5%. La percentuale delle prestazioni effettuate deve quindi essere diminuita del 7,5% e passa  dal 51% al 43,5%. Applicando la formula utilizzata dal perito (perizia pag. 13) l’onorario deve quindi essere ridotto da fr. 120'000.- a fr. 101'398.50 (IVA esclusa). Dedotto l’acconto di fr. 20'000.- e tenuto conto dell’IVA, ne risulta un credito dell’attore di fr. 87'989.40 (101'398.50 - fr. 20'000.- + fr. 6'590.90 IVA). Entro questi limiti l’appello deve pertanto essere accolto.</w:t>
      </w:r>
    </w:p>
    <w:p>
      <w:r>
        <w:rPr>
          <w:b/>
        </w:rPr>
        <w:t>E. 8</w:t>
      </w:r>
    </w:p>
    <w:p>
      <w:r>
        <w:t>L’esito del gravame impone una diversa ripartizione di spese e ripetibili di prima sede, che vanno caricate in ragione di 1/3 all’attore e 2/3 al convenuto. Le spese e le ripetibili dell’appello seguono la soccombenza (art. 148 CPC) individuata nella misura di 2/3 a carico dell’appellante.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