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12.2003.7 vom 7. Januar 2003</w:t>
      </w:r>
    </w:p>
    <w:p>
      <w:r>
        <w:t>TI Tribunale d'appello, 2003-01-07, IT</w:t>
      </w:r>
    </w:p>
    <w:p>
      <w:r>
        <w:rPr>
          <w:b/>
        </w:rPr>
        <w:t xml:space="preserve">Quelle: </w:t>
      </w:r>
      <w:r>
        <w:t>https://mcp.opencaselaw.ch/entscheid/ti_gerichte_12.2003.7</w:t>
      </w:r>
    </w:p>
    <w:p>
      <w:r>
        <w:t>FR: TI_GERICHTE 12.2003.7 du 7 janvier 2003</w:t>
      </w:r>
    </w:p>
    <w:p>
      <w:r>
        <w:t>IT: TI_GERICHTE 12.2003.7 del 7 gennaio 2003</w:t>
      </w:r>
    </w:p>
    <w:p>
      <w:pPr>
        <w:pStyle w:val="Heading2"/>
      </w:pPr>
      <w:r>
        <w:t>Volltext</w:t>
      </w:r>
    </w:p>
    <w:p>
      <w:r>
        <w:t>Incarto n.12.2003.7</w:t>
      </w:r>
    </w:p>
    <w:p>
      <w:r>
        <w:t>Lugano</w:t>
      </w:r>
    </w:p>
    <w:p>
      <w:r>
        <w:t>7 gennaio 2003/kc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Visto l'appello 2 gennaio 2003 presentato da</w:t>
      </w:r>
    </w:p>
    <w:p>
      <w:r>
        <w:t>__________</w:t>
      </w:r>
    </w:p>
    <w:p>
      <w:r>
        <w:t>contro</w:t>
      </w:r>
    </w:p>
    <w:p>
      <w:r>
        <w:t>la decisione 20 dicembre 2002 del Pretore della giurisdizione di Locarno-Campagna nella procedura promossa nei confronti di</w:t>
      </w:r>
    </w:p>
    <w:p>
      <w:r>
        <w:t>__________</w:t>
      </w:r>
    </w:p>
    <w:p>
      <w:r>
        <w:t>(patrocinato dall'avv. __________)</w:t>
      </w:r>
    </w:p>
    <w:p>
      <w:r>
        <w:t>statuendo sulla domanda di effetto sospensivo contenuta nell'appello;</w:t>
      </w:r>
    </w:p>
    <w:p>
      <w:r>
        <w:t>considerato che il conferimento dell'effetto sospensivo a un ricorso dipende dalle particolarità del caso e dalla ponderazione degli interessi in gioco (DTF 107 Ia 270);</w:t>
      </w:r>
    </w:p>
    <w:p>
      <w:r>
        <w:t>rilevata la mancanza di motivazione a sostegno della misura richiesta, l'insorgente non specificando quali interessi apparirebbero minacciati ove la sentenza pretorile divenisse esecutiva;</w:t>
      </w:r>
    </w:p>
    <w:p>
      <w:r>
        <w:t>ritenuto che la semplice evenienza di un incasso pecuniario non comporta scapito giuridico, a meno che l'obbligo di pagare implichi per l'appellante difficoltà finanziarie o la restituzione della somma in esito al possibile accoglimento del ricorso sembri dubbia (DTF 107 Ia 269 consid. 2), questioni neppure prospettate in concreto;</w:t>
      </w:r>
    </w:p>
    <w:p>
      <w:r>
        <w:t>richiamati gli art. 418 e 398 cpv 2 CPC</w:t>
      </w:r>
    </w:p>
    <w:p>
      <w:r>
        <w:t>Il presidente</w:t>
      </w:r>
    </w:p>
    <w:p>
      <w:r>
        <w:t>giudice Cocchi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