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12.2003.45 vom 7. März 2003</w:t>
      </w:r>
    </w:p>
    <w:p>
      <w:r>
        <w:t>TI Tribunale d'appello, 2003-03-07, IT</w:t>
      </w:r>
    </w:p>
    <w:p>
      <w:r>
        <w:rPr>
          <w:b/>
        </w:rPr>
        <w:t xml:space="preserve">Quelle: </w:t>
      </w:r>
      <w:r>
        <w:t>https://mcp.opencaselaw.ch/entscheid/ti_gerichte_12.2003.45</w:t>
      </w:r>
    </w:p>
    <w:p>
      <w:r>
        <w:t>FR: TI_GERICHTE 12.2003.45 du 7 mars 2003</w:t>
      </w:r>
    </w:p>
    <w:p>
      <w:r>
        <w:t>IT: TI_GERICHTE 12.2003.45 del 7 marzo 2003</w:t>
      </w:r>
    </w:p>
    <w:p>
      <w:pPr>
        <w:pStyle w:val="Heading2"/>
      </w:pPr>
      <w:r>
        <w:t>Volltext</w:t>
      </w:r>
    </w:p>
    <w:p>
      <w:r>
        <w:t>Incarto n.12.2003.45</w:t>
      </w:r>
    </w:p>
    <w:p>
      <w:r>
        <w:t>Lugano</w:t>
      </w:r>
    </w:p>
    <w:p>
      <w:r>
        <w:t>7 marzo 2003/kc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</w:t>
      </w:r>
    </w:p>
    <w:p>
      <w:r>
        <w:t>Chiesa e EpineyColombo</w:t>
      </w:r>
    </w:p>
    <w:p>
      <w:r>
        <w:t>segretario:</w:t>
      </w:r>
    </w:p>
    <w:p>
      <w:r>
        <w:t>Bettelini, vicecancelliere</w:t>
      </w:r>
    </w:p>
    <w:p>
      <w:r>
        <w:t>sedente per statuire nella causa inc. no. OA.2000.26 della Pretura del Distretto di Bellinzona promossa con petizione 16 febbraio 2000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in materia di inesistenza del debito che il Pretore, con sentenza 20 gennaio 2003, ha parzialmente accolto.</w:t>
      </w:r>
    </w:p>
    <w:p>
      <w:r>
        <w:t>Appellante il convenuto il quale, con atto d'appello 10 febbraio 2003, chiede che l'azione di disconoscimento del debito sia integralmente respinta.</w:t>
      </w:r>
    </w:p>
    <w:p>
      <w:r>
        <w:t>Ed ora sullo stralcio della procedura d'appello a seguito della comunicazione 6 marzo 2003 della patrocinatrice dell'appellante la quale ha dichiarato di ritirare l'appello.</w:t>
      </w:r>
    </w:p>
    <w:p>
      <w:r>
        <w:t>Dovendosi addebitare le spese alla parte appellante che le ha inutilmente causate, mentre non sono assegnate ripetibili alla controparte alla quale l'appello non è nemmeno ancora stato notificato.</w:t>
      </w:r>
    </w:p>
    <w:p>
      <w:r>
        <w:t> 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