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 vom 3. Februar 2003</w:t>
      </w:r>
    </w:p>
    <w:p>
      <w:r>
        <w:t>TI Tribunale d'appello, 2003-02-03, IT</w:t>
      </w:r>
    </w:p>
    <w:p>
      <w:r>
        <w:rPr>
          <w:b/>
        </w:rPr>
        <w:t xml:space="preserve">Quelle: </w:t>
      </w:r>
      <w:r>
        <w:t>https://mcp.opencaselaw.ch/entscheid/ti_gerichte_12.2003.2</w:t>
      </w:r>
    </w:p>
    <w:p>
      <w:r>
        <w:t>FR: TI_GERICHTE 12.2003.2 du 3 février 2003</w:t>
      </w:r>
    </w:p>
    <w:p>
      <w:r>
        <w:t>IT: TI_GERICHTE 12.2003.2 del 3 febbraio 2003</w:t>
      </w:r>
    </w:p>
    <w:p>
      <w:pPr>
        <w:pStyle w:val="Heading2"/>
      </w:pPr>
      <w:r>
        <w:t>Regeste</w:t>
      </w:r>
    </w:p>
    <w:p>
      <w:r>
        <w:t>Sentenza o decisione senza scheda</w:t>
      </w:r>
    </w:p>
    <w:p>
      <w:pPr>
        <w:pStyle w:val="Heading2"/>
      </w:pPr>
      <w:r>
        <w:t>Erwägungen</w:t>
      </w:r>
    </w:p>
    <w:p>
      <w:r>
        <w:rPr>
          <w:b/>
        </w:rPr>
        <w:t>E. 10</w:t>
      </w:r>
    </w:p>
    <w:p>
      <w:r>
        <w:t>maggio 1995 in re G. SA/F., 14 luglio 1998 in re E. SA/C.; ICCTF 7 novembre 1996 in re M./M. SA); che nel caso concreto è del tutto pacifico che l'ordinanza contenente il termine è entrata nella sfera di conoscenza dell'istante, tramite il suo legale, già il 22 novembre 2002: ne discende che tutti i successivi disguidi indicati nell'istanza -segnatamente l'invio per lettera semplice alla società, la successiva impossibilità di contattare l'amministratore unico, l'inconveniente dell'e-mail non ricevuto- sono in definitiva ascrivibili all'istante stessa, che non si è adeguatamente organizzata, in particolare per quanto riguarda la regolazione dei flussi informativi, per osservare quel termine, quando essa doveva senz'altro essere cosciente, avendo inoltrato un appello, che ben presto sarebbe stata richiesta dal tribunale di fornire le necessarie anticipazioni (cfr., per analogia, Cocchi/Trezzini , op. cit., m. 19-21 ad art. 137); che l'istanza di restituzione in intero, nella misura in cui è ricevibile, deve pertanto essere respinta; che la tassa di giustizia, le spese e le ripetibili di questa procedura seguono la soccombenza (art. 148 CPC); Per i quali motivi, richiamati gli art. 148 CPC e la TG dichiara e pronuncia I. L’istanza di restituzione in intero 23 dicembre 2002 di __________ è respinta. II. Le spese della presente procedura consistenti in: a) tassa di giustizia                                    fr.    450.- b) spese                                                      fr. 50.- Totale                                                           fr. 500.- da anticiparsi dall’istante, restano a suo carico con l’obbligo di rifondere alla convenuta fr. 300.- per ripetibili.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