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12.2003.150 vom 15. Juni 2004</w:t>
      </w:r>
    </w:p>
    <w:p>
      <w:r>
        <w:t>TI Tribunale d'appello, 2004-06-15, IT</w:t>
      </w:r>
    </w:p>
    <w:p>
      <w:r>
        <w:rPr>
          <w:b/>
        </w:rPr>
        <w:t xml:space="preserve">Quelle: </w:t>
      </w:r>
      <w:r>
        <w:t>https://mcp.opencaselaw.ch/entscheid/ti_gerichte_12.2003.150</w:t>
      </w:r>
    </w:p>
    <w:p>
      <w:r>
        <w:t>FR: TI_GERICHTE 12.2003.150 du 15 juin 2004</w:t>
      </w:r>
    </w:p>
    <w:p>
      <w:r>
        <w:t>IT: TI_GERICHTE 12.2003.150 del 15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22 settembre 2003 di __________ AP1, è respinto.</w:t>
      </w:r>
    </w:p>
    <w:p>
      <w:r>
        <w:rPr>
          <w:b/>
        </w:rPr>
        <w:t>E. 2</w:t>
      </w:r>
    </w:p>
    <w:p>
      <w:r>
        <w:t>Le spese e la tassa di giustizia, per complessivi fr. 2'500.-, anticipati dall'appellante, restano a suo carico. Egli verserà inoltre a AO1, __________, l'importo di fr. 5'000.- a titolo di ripetibili.</w:t>
      </w:r>
    </w:p>
    <w:p>
      <w:r>
        <w:rPr>
          <w:b/>
        </w:rPr>
        <w:t>E. 3</w:t>
      </w:r>
    </w:p>
    <w:p>
      <w:r>
        <w:t>Intimazione: - - Comunicazione alla Pretura della giurisdizione di Locarno-Città terzi implicati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