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12.2002.80 vom 1. Juli 2002</w:t>
      </w:r>
    </w:p>
    <w:p>
      <w:r>
        <w:t>TI Tribunale d'appello, 2002-07-01, IT</w:t>
      </w:r>
    </w:p>
    <w:p>
      <w:r>
        <w:rPr>
          <w:b/>
        </w:rPr>
        <w:t xml:space="preserve">Quelle: </w:t>
      </w:r>
      <w:r>
        <w:t>https://mcp.opencaselaw.ch/entscheid/ti_gerichte_12.2002.80</w:t>
      </w:r>
    </w:p>
    <w:p>
      <w:r>
        <w:t>FR: TI_GERICHTE 12.2002.80 du 1 juillet 2002</w:t>
      </w:r>
    </w:p>
    <w:p>
      <w:r>
        <w:t>IT: TI_GERICHTE 12.2002.80 del 1 luglio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L'appello 16 aprile 2002 di __________ è respinto.</w:t>
      </w:r>
    </w:p>
    <w:p>
      <w:r>
        <w:rPr>
          <w:b/>
        </w:rPr>
        <w:t>E. 2</w:t>
      </w:r>
    </w:p>
    <w:p>
      <w:r>
        <w:t>La tassa di giustizia e le spese della procedura d'appello in fr. 100.--, già anticipati, dall'appellante, rimangono a suo carico con l'obbligo di rifondere a controparte fr. 100.-- per ripetibili.</w:t>
      </w:r>
    </w:p>
    <w:p>
      <w:r>
        <w:rPr>
          <w:b/>
        </w:rPr>
        <w:t>E. 3</w:t>
      </w:r>
    </w:p>
    <w:p>
      <w:r>
        <w:t>Intimazione a:  - __________ Comunicazione alla Pretura del distretto di Lugano, sezione 4. Per la seconda Camera civile del Tribunale d’appello 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