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12.2002.76 vom 6. November 2002</w:t>
      </w:r>
    </w:p>
    <w:p>
      <w:r>
        <w:t>TI Tribunale d'appello, 2002-11-06, IT</w:t>
      </w:r>
    </w:p>
    <w:p>
      <w:r>
        <w:rPr>
          <w:b/>
        </w:rPr>
        <w:t xml:space="preserve">Quelle: </w:t>
      </w:r>
      <w:r>
        <w:t>https://mcp.opencaselaw.ch/entscheid/ti_gerichte_12.2002.76</w:t>
      </w:r>
    </w:p>
    <w:p>
      <w:r>
        <w:t>FR: TI_GERICHTE 12.2002.76 du 6 novembre 2002</w:t>
      </w:r>
    </w:p>
    <w:p>
      <w:r>
        <w:t>IT: TI_GERICHTE 12.2002.76 del 6 novembre 2002</w:t>
      </w:r>
    </w:p>
    <w:p>
      <w:pPr>
        <w:pStyle w:val="Heading2"/>
      </w:pPr>
      <w:r>
        <w:t>Regeste</w:t>
      </w:r>
    </w:p>
    <w:p>
      <w:r>
        <w:t>Sentenza o decisione senza scheda</w:t>
      </w:r>
    </w:p>
    <w:p>
      <w:pPr>
        <w:pStyle w:val="Heading2"/>
      </w:pPr>
      <w:r>
        <w:t>Erwägungen</w:t>
      </w:r>
    </w:p>
    <w:p>
      <w:r>
        <w:rPr>
          <w:b/>
        </w:rPr>
        <w:t>E. 1</w:t>
      </w:r>
    </w:p>
    <w:p>
      <w:r>
        <w:t>È pacifico che a seguito della avvenuta riconsegna dell’ente locato da parte di __________ e __________ il procedimento relativo alla protrazione della locazione avviato il 15 gennaio 2001 è divenuto privo di oggetto ( II CCA 27 settembre 2002 in re V.P. SA/P. SA). Se una lite diventa priva di oggetto o di interesse giuridico (art. 351 CPC), per la decisione in materia di spese e ripetibili si applica per analogia l’art. 72 PCF ( REP . 1990, pag. 284; I CCA 22 febbraio 1993 in re B./B: e 27 settembre 1993 in re P./P.; II CCA 23 marzo 1994 in re I. SA e llcc./L. SA e llcc e 24 ottobre 1996 in re BFC/V.O. e llcc.), norma in virtù della quale, quando una lite diventa senza oggetto o priva d’interesse giuridico per le parti, il tribunale, udite le parti ma senza ulteriore dibattimento dichiara il processo terminato e statuisce, con motivazione sommaria, sulle spese, tenendo conto dello stato delle cose prima del verificarsi del motivo che pone fine alla lite. In altre parole, si tratta di valutare, sommariamente, quale possibilità di buon esito avrebbe avuto in concreto la causa ( Cocchi/Trezzini , CPC-TI, Lugano 2000, m. 9 ss. ad art. 151 CPC e m. 4 ad art. 351 CPC; DTF 111 Ib 191).</w:t>
      </w:r>
    </w:p>
    <w:p>
      <w:r>
        <w:rPr>
          <w:b/>
        </w:rPr>
        <w:t>E. 2</w:t>
      </w:r>
    </w:p>
    <w:p>
      <w:r>
        <w:t>Nel caso specifico, la proposta formulata in data 23 agosto 2002 dal Presidente di questa Camera ha trovato consenso nelle parti nel rinuciare alle ripetibili di entrambe le sedi (in prima istanza la __________ era stata obbligata a corrispondere agli istanti fr. 200.-- a titolo di indennità), mentre non vi è stata concordanza sulla sorte delle tasse e delle spese di prima istanza. Di conseguenza, vista la particolare situazione, rimane così unicamente aperta la questione a sapere a quale parte, eventualmente in che misura, debbano essere caricate la tassa di giustizia (fr. 850.--) e le spese (fr. 150.--), già poste in prima istanza a carico della __________. Occorre quindi procedere ad un esame sommario della fattispecie per valutare il buon fondamento della vertenza.</w:t>
      </w:r>
    </w:p>
    <w:p>
      <w:r>
        <w:rPr>
          <w:b/>
        </w:rPr>
        <w:t>E. 3</w:t>
      </w:r>
    </w:p>
    <w:p>
      <w:r>
        <w:t>Dall’istruttoria è emerso che in effetti la __________ aveva offerto ai conduttori, i quali non avevano però accettato, un appartamento sostitutivo a far tempo dal mese di gennaio 2001 (v. documenti sub cartelletta UC). Al momento della presentazione dell’istanza di protrazione all’Ufficio di conciliazione, il 23 agosto 2000, i conduttori potevano fondatamente ritenere che la costruzione della loro abitazione a __________ sarebbe stata terminata entro il 31 dicembre 2001 e quindi postulavano una proroga fino a quella data (v. lettera 27 settembre 2000 dello studio di architettura __________ di __________, doc. annesso al verbale di discussione 3 ottobre 2000 presso l’Ufficio di conciliazione, sub cartelletta doc. UC: “iniziare l’edificazione durante il mese di gennaio 2001 e portarla a termine per la fine dello stesso anno”). Dagli atti è infatti emerso che solitamente per una costruzione di quel genere si prevedono dodici mesi di lavoro (verbale teste __________ 6 giugno 2001, pag. 1). Soltanto successivamente, e meglio nel corso della causa avviata davanti al Pretore, sono emerse circostanze che hanno causato il ritardo nella consegna immobile (v. verbale teste __________ 6 giugno 2001, pag. 1). La licenza edilizia è stata concessa il 29 marzo 2001 e di conseguenza i conduttori hanno avviato una seconda procedura volta ad ottenere un’ulteriore proroga del contratto di locazione. A giusta ragione il Pretore ha stabilito che se i conduttori avessero accettato l’appartamento sostitutivo offerto dalla locatrice, gli stessi avrebbero dovuto effettuare un doppio trasloco in un breve lasso di tempo. Questo fatto è stato reputato assai gravoso da parte del primo giudice e quindi i conduttori ottenevano una prima protrazione della locazione fino al 31 dicembre 2001. Questa decisione appare corretta, stante soprattutto che l’interesse della locatrice alla vendita dell’immobile non appariva urgente ed era di mera natura economica. Del resto, dalla documentazione agli atti risulta che vi era almeno un altro possibile acquirente dell’ente locato oltre ai coniugi __________ (v. verbali audizione testi, 2 aprile 2001, pag. 4 e 5). Infatti, anche il vicino di casa dei conduttori, il signor __________, era concretamente interessato all’acquisto della casa di __________ e aveva preso contatto con il signor __________ della __________ (doc. L e verbale audizione teste __________, 6 giugno 2001, pag. 2; SJZ 91/1995, pag. 116 e contrario). Ne consegue che i bisogni della parte locatrice non risultano predominanti rispetto agli interessi dei conduttori.</w:t>
      </w:r>
    </w:p>
    <w:p>
      <w:r>
        <w:rPr>
          <w:b/>
        </w:rPr>
        <w:t>E. 4</w:t>
      </w:r>
    </w:p>
    <w:p>
      <w:r>
        <w:t>Alla luce di quanto esposto, valutando la situazione antecedente al motivo che ha posto fine alla lite, si giunge alla conclusione che la concessione della proroga del rapporto di locazione avrebbe trovato conferma anche in questa sede ( Giger , Die Erstreckung des Mietverhältnisses (Art. 272-272d OR), tesi Zurigo 1995, pag. 46 ss.; Thanei , Die Erstreckung des Mietverhältnisses, Zurigo 1990, pag. 29 ss). Di conseguenza appare giustificato caricare tasse e spese del procedimento di prima istanza alla parte appellante __________. Vista inoltre la particolarità della fattispecie e tenuto conto della proposta del Presidente di questa Camera, si rinuncia a prelevare tasse e spese per la procedura di appello. Per i quali motivi pronuncia: I. L’appello 12 aprile 2002 della __________ è stralciato dai ruoli, con la conseguenza che il dispositivo 2 della sentenza 28 marzo 2002 del Pretore di Lugano viene così riformata: 2. La tassa di giustizia di fr. 850.-- e le spese di fr. 150.--, già anticipate dagli istanti in solido, sono poste a carico della __________. Compensate le ripetibili. II. Non si prelevano tasse e spese per la procedura di appello. III. Intimazione: - __________ Comunicazione alla Pretura del Distretto di Lugano, Sezione 4. Per la seconda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