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12.2002.42 vom 19. Februar 2002</w:t>
      </w:r>
    </w:p>
    <w:p>
      <w:r>
        <w:t>TI Tribunale d'appello, 2002-02-19, IT</w:t>
      </w:r>
    </w:p>
    <w:p>
      <w:r>
        <w:rPr>
          <w:b/>
        </w:rPr>
        <w:t xml:space="preserve">Quelle: </w:t>
      </w:r>
      <w:r>
        <w:t>https://mcp.opencaselaw.ch/entscheid/ti_gerichte_12.2002.42</w:t>
      </w:r>
    </w:p>
    <w:p>
      <w:r>
        <w:t>FR: TI_GERICHTE 12.2002.42 du 19 février 2002</w:t>
      </w:r>
    </w:p>
    <w:p>
      <w:r>
        <w:t>IT: TI_GERICHTE 12.2002.42 del 19 febbraio 2002</w:t>
      </w:r>
    </w:p>
    <w:p>
      <w:pPr>
        <w:pStyle w:val="Heading2"/>
      </w:pPr>
      <w:r>
        <w:t>Regeste</w:t>
      </w:r>
    </w:p>
    <w:p>
      <w:r>
        <w:t>Sentenza o decisione senza scheda</w:t>
      </w:r>
    </w:p>
    <w:p>
      <w:pPr>
        <w:pStyle w:val="Heading2"/>
      </w:pPr>
      <w:r>
        <w:t>Erwägungen</w:t>
      </w:r>
    </w:p>
    <w:p>
      <w:r>
        <w:rPr>
          <w:b/>
        </w:rPr>
        <w:t>E. 27</w:t>
      </w:r>
    </w:p>
    <w:p>
      <w:r>
        <w:t>giugno 1995 in re R. e lc./M., 26 gennaio 1998 in re N. e llcc./H.), atteso come lo stesso possa essere evaso già nell'ambito dell'esame preliminare dell'art. 313bis CPC, senza necessità di intimarlo alla controparte per eventuali osservazioni; che, contrariamente a quanto ritenuto dall'appellante, la circostanza, sollevata per la prima volta - e dunque irritualmente (art. 321 cpv. 1 lett. b CPC) - in questa sede, che l'ente locato si trovi in Via __________ e non invece in Via __________ - come per altro indicato dal contratto - non può comportare la reiezione dell'istanza di sfratto, quell'indicazione avendo in effetti come unico scopo quello di identificare l'ente locato; che del tutto irrilevante per la causa che qui ci occupa è il fatto che l'ente locato, che secondo il contratto era formato da 4 1/2 locali, ne conti in realtà solo 3 (o 3 1/2), come pure irrilevante è che gli istanti possano averlo descritto scorrettamente nelle inserzioni; che la circostanza che il convenuto abbia in realtà provveduto puntualmente al pagamento delle pigioni oggetto della diffida, per altro irricevibile in quanto sollevata per la prima volta in sede di appello e comunque rimasta allo stadio di puro parlato, è oltretutto smentita da quanto egli aveva dichiarato avanti al Pretore; che pure irricevibile è infine il generico richiamo all'esposizione delle circostanze di fatto sollevate nella sede pretorile ( Cocchi/Trezzini , CPC-TI, Lugano 2000, m. 21 ad art. 309); che l'appello in questione deve pertanto essere respinto, con accollo al convenuto degli oneri processuali; Per i quali motivi Visti gli art. 506 e segg. e 313bis CPC pronuncia: 1. Lo scritto (recte: appello) 13 febbraio 2002 di __________ è respinto . 2. Gli oneri processuali di complessivi fr. 100.- (con una tassa di giustizia di fr. 70.- e spese di fr. 30.-) sono a carico dell'appellante. 3. Intimazione a: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