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12.2002.36 vom 18. Februar 2002</w:t>
      </w:r>
    </w:p>
    <w:p>
      <w:r>
        <w:t>TI Tribunale d'appello, 2002-02-18, IT</w:t>
      </w:r>
    </w:p>
    <w:p>
      <w:r>
        <w:rPr>
          <w:b/>
        </w:rPr>
        <w:t xml:space="preserve">Quelle: </w:t>
      </w:r>
      <w:r>
        <w:t>https://mcp.opencaselaw.ch/entscheid/ti_gerichte_12.2002.36</w:t>
      </w:r>
    </w:p>
    <w:p>
      <w:r>
        <w:t>FR: TI_GERICHTE 12.2002.36 du 18 février 2002</w:t>
      </w:r>
    </w:p>
    <w:p>
      <w:r>
        <w:t>IT: TI_GERICHTE 12.2002.36 del 18 febbraio 2002</w:t>
      </w:r>
    </w:p>
    <w:p>
      <w:pPr>
        <w:pStyle w:val="Heading2"/>
      </w:pPr>
      <w:r>
        <w:t>Regeste</w:t>
      </w:r>
    </w:p>
    <w:p>
      <w:r>
        <w:t>Sentenza o decisione senza scheda</w:t>
      </w:r>
    </w:p>
    <w:p>
      <w:pPr>
        <w:pStyle w:val="Heading2"/>
      </w:pPr>
      <w:r>
        <w:t>Erwägungen</w:t>
      </w:r>
    </w:p>
    <w:p>
      <w:r>
        <w:rPr>
          <w:b/>
        </w:rPr>
        <w:t>E. 3</w:t>
      </w:r>
    </w:p>
    <w:p>
      <w:r>
        <w:t>e m. 118 ad art. 27; IICCA 28 settembre 1995 in re A./M.) rispettivamente che la ricusazione ha di norma effetto soltanto per la procedura in cui è stata pronunciata ( Cocchi/Trezzini , op. cit., m. 5 ad art. 27), per cui nel caso di specie, atteso che prima dell'inoltro dell'istanza, il 15 gennaio 2002, il Segretario assessore aveva già provveduto ad emanare la sentenza di merito, nel frattempo cresciuta in giudicato, l'istanza stessa, fosse per ipotesi anche fondata, non potrebbe in ogni caso migliorare la posizione del ricusante, ma rimarrebbe fine a sé stessa, dal che la sua inammissibilità; che, se ciò non bastasse, l'istanza in rassegna dovrebbe in ogni caso essere dichiarata irricevibile anche per il fatto che il ricusante non ha motivato in modo sufficientemente chiaro ed esaustivo le ragioni a sostegno del provvedimento ( Cocchi/Trezzini , op. cit., m. 2 ad art. 29; IICCA 26 maggio 1993 in re B./C. SA, 15 luglio 1997 in re H./D.): egli non ha in effetti spiegato quali erano i rimproveri puntuali mossi al Pretore o al Segretario assessore nelle cause che a suo tempo lo avevano opposto al __________, alla __________ e al Comune di __________, tanto più che il Pretore, nelle sue osservazioni, ha chiaramente dimostrato l'infondatezza di ogni critica sollevata; che ad ogni buon conto l'istanza doveva essere disattesa anche per il fatto che l'istante non ha reagito al momento in cui si sono verificati gli episodi da lui contestati, che risalgono perlopiù ad oltre un anno e mezzo prima, lasciando compiere ulteriori atti di procedura ( Cocchi/Trezzini , op. cit., m. 2 ad art. 27); che l’istanza di ricusa, nella limitata misura in cui dovesse essere considerata ricevibile, deve pertanto essere respinta; che la tassa di giustizia e le spese seguono la soccombenza (art. 148 CPC), mentre non si assegnano ripetibili alla controparte, che non è stata chiamata a presentare osservazioni; che pure irricevibile, siccome non direttamente connessa con la domanda qui in esame, è la richiesta di risarcimento per torto morale e danni, pure formulata nello scritto di ricusa ( IICCA 15 luglio 1997 in re H./D.); Per i quali motivi, richiamati gli art. 27 e 30 CPC e per le spese gli art. 148 CPC e la TG decreta: I. L’istanza di ricusa 28 gennaio 2002 di __________ è respinta . II. Le spese del presente giudizio di complessivi fr. 100.- (con una tassa di giustizia di fr. 80.- e spese di fr. 20.-) sono poste a carico del ricusante. III. Intimazione a:        -   __________ Comunicazione alla Pretura di Bellinzona, con atti di ritorno.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