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12.2002.32 vom 4. November 2002</w:t>
      </w:r>
    </w:p>
    <w:p>
      <w:r>
        <w:t>TI Tribunale d'appello, 2002-11-04, IT</w:t>
      </w:r>
    </w:p>
    <w:p>
      <w:r>
        <w:rPr>
          <w:b/>
        </w:rPr>
        <w:t xml:space="preserve">Quelle: </w:t>
      </w:r>
      <w:r>
        <w:t>https://mcp.opencaselaw.ch/entscheid/ti_gerichte_12.2002.32</w:t>
      </w:r>
    </w:p>
    <w:p>
      <w:r>
        <w:t>FR: TI_GERICHTE 12.2002.32 du 4 novembre 2002</w:t>
      </w:r>
    </w:p>
    <w:p>
      <w:r>
        <w:t>IT: TI_GERICHTE 12.2002.32 del 4 novembre 2002</w:t>
      </w:r>
    </w:p>
    <w:p>
      <w:pPr>
        <w:pStyle w:val="Heading2"/>
      </w:pPr>
      <w:r>
        <w:t>Regeste</w:t>
      </w:r>
    </w:p>
    <w:p>
      <w:r>
        <w:t>Sentenza o decisione senza scheda</w:t>
      </w:r>
    </w:p>
    <w:p>
      <w:pPr>
        <w:pStyle w:val="Heading2"/>
      </w:pPr>
      <w:r>
        <w:t>Erwägungen</w:t>
      </w:r>
    </w:p>
    <w:p>
      <w:r>
        <w:rPr>
          <w:b/>
        </w:rPr>
        <w:t>E. 4</w:t>
      </w:r>
    </w:p>
    <w:p>
      <w:r>
        <w:t>Nell'uno e nell'altro caso la soluzione non può che essere uniforme nella direzione che nulla è più dovuto ai venditori trascorso il termine di cinque anni senza che questi abbiano affidato incarichi all'arch. __________. È questa la conseguenza logica, conforme all'economia del contratto, dell'analisi realistica delle volontà delle parti, interpretate o che avrebbero espresso qualora avessero  previsto tale evenienza, che l'istruttoria di causa ha permesso di evidenziare.</w:t>
      </w:r>
    </w:p>
    <w:p>
      <w:r>
        <w:rPr>
          <w:b/>
        </w:rPr>
        <w:t>E. 4.1</w:t>
      </w:r>
    </w:p>
    <w:p>
      <w:r>
        <w:t>L'iniziale prezzo della transazione immobiliare (era previsto dapprima un diritto di compera poi risoltosi in compravendita) era stato indicato, dai compratori, in Fr. 500'000.-. In seguito il prezzo è stato aumentato a Fr. 550'000.- perché cosi i venditori volevano e accettato dai compratori solo con la particolare modalità di pagamento del supplemento di Fr. 50'000.- attraverso lo sconto su onorari per futuri mandati d'architetto affidati dagli stessi venditori al compratore arch. __________ il quale, come appare dalla deposizione testimoniale della notaia, aveva accettato di buon grado questa soluzione, anche se l'importo di Fr. 500'000.- era il massimo che si poteva permettere, perché, in definitiva, lo avvantaggiava dandogli occasione di lavoro e di guadagno. È così pacifica la volontà dei compratori di non pagare la maggiorazione dell'iniziale prezzo se non solo e soltanto attraverso lo sconto sugli onorari. Lo dimostra ancora il fatto che un'aggiunta proposta dalla notaia - nel senso di pagare, alla scadenza del termine di cinque anni, l'eventuale rimanenza non coperta dagli sconti sugli onorari in contanti ma per un importo massimo (cfr. doc. 5) - incontrò l'opposizione dei compratori e fu tralasciata al momento della rogazione dell'atto notarile di compravendita. Tutto questo senza che i venditori, che avevano ricevuto la bozza del contratto con questa aggiunta dovuta all'iniziativa della notaia (cfr. messaggio telefax in doc. 5), esprimessero reazioni attorno a tale clausola e senza che, in occasione della rogazione dell'atto, si meravigliassero della scomparsa di tale precisazione. E ciò dimostra che anche i venditori dovevano essere consapevoli del fatto che quell'importo, che avevano ottenuto in più sul prezzo che i compratori erano disposti ad assumere, poteva e doveva essere onorato solo attraverso il conferimento di incarichi professionali all'arch. __________ ed il relativo conteggio del concordato sconto sugli onorari. La stessa notaia afferma poi di non aver avuto alcun dubbio che le parti si erano accordate per togliere la clausola da lei proposta e di non aver ritenuto opportuno prevedere cosa sarebbe successo se non tutto l'importo fisse stato soluto, con i previsti sconti, nel termine di cinque anni poiché sembrava pacifico che il conferimento di mandati d'architetto avrebbe potuto continuare anche successivamente.</w:t>
      </w:r>
    </w:p>
    <w:p>
      <w:r>
        <w:rPr>
          <w:b/>
        </w:rPr>
        <w:t>E. 4.2</w:t>
      </w:r>
    </w:p>
    <w:p>
      <w:r>
        <w:t>Questo sviluppo degli intendimenti delle parti e dei loro comportamenti, dall'inizio della trattativa sino alla stipulazione definitiva della compravendita, permette di concludere per un accordo, relativo alla clausola di soddisfacimento del residuo prezzo di Fr. 50'000.-, che fosse unico ed esclusivo e non lasciasse spazio ad altro diverso modo di pagamento. Se questa è la soluzione in via interpretativa, altrettanto si ottiene volendo completare il contratto poiché, con quelle premesse, contraenti ragionevoli avrebbero escluso qualsiasi pagamento in contanti e deciso piuttosto una proroga del termine per soddisfare l'adempimento della particolare clausola contrattuale. Del resto la realizzazione dell'accordo e l'ottenimento del pagamento supplementare dipendeva solo dai venditori i quali non possono ora, se non in mala fede, tentare di ottenere una prestazione in contanti sostituiva di quella che hanno impedito si realizzasse.</w:t>
      </w:r>
    </w:p>
    <w:p>
      <w:r>
        <w:rPr>
          <w:b/>
        </w:rPr>
        <w:t>E. 5</w:t>
      </w:r>
    </w:p>
    <w:p>
      <w:r>
        <w:t>L'appello deve così essere accolto e la sentenza pretorile riformata nel senso di respingere la petizione. Le spese e le ripetibili di prima e seconda sede seguono la soccombenza degli attori e appellati. Per i quali motivi visti, per le spese, gli art. 147 e seg. CPC e la vigente TG dichiara e pronuncia I. L'appello 4 febbraio 2002 di __________ e arch. __________ è accolto e di conseguenza la sentenza 16 gennaio 2002 del Pretore supplente della giurisdizione di Blenio viene così riformata: 1. La petizione 9 giugno 2000 è respinta. 2. Le tasse in complessivi Fr. 1'500.- e le spese di giustizia per Fr. 300.-, da anticiparsi dagli attori, rimangono a loro carico con l'obbligo di rifondere, in solido, alla controparte Fr. 4'000.- per ripetibili. II. Le spese della procedura d'appello consistenti in: -tassa di giudizio          Fr. 700.- -spese                            Fr. 50.- totale                             Fr. 750.- anticipate dagli appellanti sono a carico, in solido, degli appellati   che, sempre in solido, verseranno alla controparte Fr. 2'000.- per ripetibili d'appello. III. Intimazione a: -__________ Comunicazione alla Pretura di Blenio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