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12.2002.203 vom 22. November 2002</w:t>
      </w:r>
    </w:p>
    <w:p>
      <w:r>
        <w:t>TI Tribunale d'appello, 2002-11-22, IT</w:t>
      </w:r>
    </w:p>
    <w:p>
      <w:r>
        <w:rPr>
          <w:b/>
        </w:rPr>
        <w:t xml:space="preserve">Quelle: </w:t>
      </w:r>
      <w:r>
        <w:t>https://mcp.opencaselaw.ch/entscheid/ti_gerichte_12.2002.203</w:t>
      </w:r>
    </w:p>
    <w:p>
      <w:r>
        <w:t>FR: TI_GERICHTE 12.2002.203 du 22 novembre 2002</w:t>
      </w:r>
    </w:p>
    <w:p>
      <w:r>
        <w:t>IT: TI_GERICHTE 12.2002.203 del 22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22.11.2002 12.2002.203</w:t>
      </w:r>
    </w:p>
    <w:p>
      <w:r>
        <w:t>Sentenza o decisione senza scheda</w:t>
      </w:r>
    </w:p>
    <w:p>
      <w:r>
        <w:t>Incarto n. 12.2002.203 Lugano 22 novembre 2002 /dp In nome della Repubblica e Cantone del Ticino La seconda Camera civile del Tribunale d'appello composta dei giudici: Cocchi, presidente Chiesa e Rusca segretario: Bettelini, vicecancelliere sedente per statuire nella causa inc. n. DI.2002.00183 della Pretura della giurisdizione di Mendrisio sud promossa con istanza 28 ottobre 2002 da __________ contro __________ intesa ad ottenere l'emanazione di un decreto esecutivo per l'immediata consegna dell'autovettura AUDI A4, __________ che il Pretore, con decreto esecutivo 29 ottobre 2002 ha ordinato. Ed ora sullo scritto 15 novembre 2002 di __________ (già __________), indirizzato alla Pretura e trasmesso quale appello a questa Camera, con il quale si chiede il ritiro del decreto esecutivo a carico della società. Letti ed esaminati gli atti di causa. Considerato che, per costante giurisprudenza, nei confronti del decreto esecutivo che ammette l'istanza della parte procedente non è ammissibile, nella procedura cantonale, nessun rimedio di diritto ( Cocchi/Trezzini , CPC-TI, ad art. 497 m. 2); che l'appello in questione è di conseguenza irricevibile e come tale può essere sanzionato già all'esame preliminare dell'art. 313bis CPC; pronuncia: 1. Lo scritto/appello 15 novembre 2002 di __________ (già __________) è irricevibile. 2. Non si prelevano tasse o spese. 3. Intimazione a:     - __________ Comunicazione alla Pretura di Mendrisio-Sud.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