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12.2001.8 vom 18. Mai 2001</w:t>
      </w:r>
    </w:p>
    <w:p>
      <w:r>
        <w:t>TI Tribunale d'appello, 2001-05-18, IT</w:t>
      </w:r>
    </w:p>
    <w:p>
      <w:r>
        <w:rPr>
          <w:b/>
        </w:rPr>
        <w:t xml:space="preserve">Quelle: </w:t>
      </w:r>
      <w:r>
        <w:t>https://mcp.opencaselaw.ch/entscheid/ti_gerichte_12.2001.8</w:t>
      </w:r>
    </w:p>
    <w:p>
      <w:r>
        <w:t>FR: TI_GERICHTE 12.2001.8 du 18 mai 2001</w:t>
      </w:r>
    </w:p>
    <w:p>
      <w:r>
        <w:t>IT: TI_GERICHTE 12.2001.8 del 18 maggio 2001</w:t>
      </w:r>
    </w:p>
    <w:p>
      <w:pPr>
        <w:pStyle w:val="Heading2"/>
      </w:pPr>
      <w:r>
        <w:t>Volltext</w:t>
      </w:r>
    </w:p>
    <w:p>
      <w:r>
        <w:t>Incarto n.12.2001.00008</w:t>
      </w:r>
    </w:p>
    <w:p>
      <w:r>
        <w:t>Lugano</w:t>
      </w:r>
    </w:p>
    <w:p>
      <w:r>
        <w:t>18 maggio 2001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Rusca</w:t>
      </w:r>
    </w:p>
    <w:p>
      <w:r>
        <w:t>segretario:</w:t>
      </w:r>
    </w:p>
    <w:p>
      <w:r>
        <w:t>Petrini</w:t>
      </w:r>
    </w:p>
    <w:p>
      <w:r>
        <w:t>sedente per statuire sugli appelli 8 gennaio 2001 di</w:t>
      </w:r>
    </w:p>
    <w:p>
      <w:r>
        <w:t>__________</w:t>
      </w:r>
    </w:p>
    <w:p>
      <w:r>
        <w:t>rappr. dallo studio legale __________</w:t>
      </w:r>
    </w:p>
    <w:p>
      <w:r>
        <w:t>contro l'avviso di pignoramento 24.11.2000 e le comunicazioni 28.12.2000 e 2.1.2001 (ordine di informare) dell'UE di Lugano</w:t>
      </w:r>
    </w:p>
    <w:p>
      <w:r>
        <w:t>nell'ambito della procedura relativa all'emanazione di provvedimenti conservativi ai sensi dell'art. 39 Convenzione di Lugano, ordinati dal Pretore di Lugano, sez. 4  su istanza di</w:t>
      </w:r>
    </w:p>
    <w:p>
      <w:r>
        <w:t>__________</w:t>
      </w:r>
    </w:p>
    <w:p>
      <w:r>
        <w:t>__________</w:t>
      </w:r>
    </w:p>
    <w:p>
      <w:r>
        <w:t>rappr. dall' avv. __________</w:t>
      </w:r>
    </w:p>
    <w:p>
      <w:r>
        <w:t>promossa nei confronti di</w:t>
      </w:r>
    </w:p>
    <w:p>
      <w:r>
        <w:t>__________</w:t>
      </w:r>
    </w:p>
    <w:p>
      <w:r>
        <w:t>rappr. dallo studio legale __________</w:t>
      </w:r>
    </w:p>
    <w:p>
      <w:r>
        <w:t>Ed ora sulla comunicazione 10 maggio 2001 della parte appellante con la quale dichiara di ritirare gli appelli.</w:t>
      </w:r>
    </w:p>
    <w:p>
      <w:r>
        <w:t>Ritenuto</w:t>
      </w:r>
    </w:p>
    <w:p>
      <w:r>
        <w:t>che il ritiro degli appelli si giustifica, non con una desistenza dell'appellante, ma perché l'oggetto del litigio è venuto meno a seguito delle decisioni del Tribunale federale del 28 febbraio 2001 (7b 14 e 15/2001) e della CEF del 4 aprile 2001 (15.2001.8/9/56/57), per le quali la competenza a dirimere ricorsi contro l'operato dell'UE, anche se incaricato di procedere all' esecuzione di misure conservative ex art. 39 CL, è la CEF quale autorità di vigilanza in materia di LEF;</w:t>
      </w:r>
    </w:p>
    <w:p>
      <w:r>
        <w:t>che di conseguenza l'appello contro quell'operato, perché non forma di esecuzione di un provvedimento cautelare ai sensi degli art. 376 e seg. CPC, non è dato;</w:t>
      </w:r>
    </w:p>
    <w:p>
      <w:r>
        <w:t>che l'appellante aveva inoltrato tali appelli in via cautelativa dopo che la CEF si era dichiarata incompetente a decidere, decisione poi riformata dal Tribunale federale con la citata sentenza del 28 febbraio 2001;</w:t>
      </w:r>
    </w:p>
    <w:p>
      <w:r>
        <w:t>che in simile situazione concorrono giusti motivi, ai sensi dell'art. 148 cpv. 2 CPC, per non percepire tasse e spese di giudizio e per non assegnare ripetibili alla parte patrocinata dall'avv. __________ che aveva provveduto a presentare un allegato di osservazioni, non intimato alla controparte in attesa delle pregiudiziali decisioni del Tribunale federale e della CEF;</w:t>
      </w:r>
    </w:p>
    <w:p>
      <w:r>
        <w:t>Per i quali motivi</w:t>
      </w:r>
    </w:p>
    <w:p>
      <w:r>
        <w:t>pronuncia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