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12.2001.54 vom 7. November 2001</w:t>
      </w:r>
    </w:p>
    <w:p>
      <w:r>
        <w:t>TI Tribunale d'appello, 2001-11-07, IT</w:t>
      </w:r>
    </w:p>
    <w:p>
      <w:r>
        <w:rPr>
          <w:b/>
        </w:rPr>
        <w:t xml:space="preserve">Quelle: </w:t>
      </w:r>
      <w:r>
        <w:t>https://mcp.opencaselaw.ch/entscheid/ti_gerichte_12.2001.54</w:t>
      </w:r>
    </w:p>
    <w:p>
      <w:r>
        <w:t>FR: TI_GERICHTE 12.2001.54 du 7 novembre 2001</w:t>
      </w:r>
    </w:p>
    <w:p>
      <w:r>
        <w:t>IT: TI_GERICHTE 12.2001.54 del 7 novembre 2001</w:t>
      </w:r>
    </w:p>
    <w:p>
      <w:pPr>
        <w:pStyle w:val="Heading2"/>
      </w:pPr>
      <w:r>
        <w:t>Regeste</w:t>
      </w:r>
    </w:p>
    <w:p>
      <w:r>
        <w:t>Sentenza o decisione senza scheda</w:t>
      </w:r>
    </w:p>
    <w:p>
      <w:pPr>
        <w:pStyle w:val="Heading2"/>
      </w:pPr>
      <w:r>
        <w:t>Erwägungen</w:t>
      </w:r>
    </w:p>
    <w:p>
      <w:r>
        <w:rPr>
          <w:b/>
        </w:rPr>
        <w:t>E. 1</w:t>
      </w:r>
    </w:p>
    <w:p>
      <w:r>
        <w:t>In via principale l'appellante chiede di rinviare la causa alla pretura affinché il primo giudice proceda all'audizione del teste __________ e conseguentemente all'emanazione di una nuova sentenza. Sennonché scopo dell'appello è quello di sottoporre a verifica il giudizio di primo grado affinché l'autorità di ricorso abbia, se del caso, a riformarlo con altro diverso giudizio. Non adempie invece a tali requisiti -ed è perciò inammissibile- l'appello che chiede l'annullamento del giudizio impugnato affinché il pretore emetta una nuova sentenza, senza che vi siano i motivi per procedere in tal senso ( Cocchi/Trezzini , CPC-Tl, art. 307, m.1). Non muta la sostanza delle cose l'eventuale richiesta dell'appellante di assumere prove offerte davanti al primo giudice e da questi respinte, così come previsto dall'art. 322 lett. b CPC, dal momento che -nel caso di accoglimento della domanda- è compito del giudice d'appello e non del pretore di procedere a questo incombente istruttorio (art. 323 CPC). In concreto, non essendone dati i presupposti -cui l'appellante nemmeno allude implicitamente- la domanda di rinvio appare processualmente irrita e quindi inammissibile. Comunque la censura relativa alla mancata assunzione del teste __________ non potrebbe trovare accoglimento. Infatti, la giurisprudenza ha ripetutamente affermato che -ancorché una regola in tal senso non sia codificata- non possono essere sentiti come testimoni coloro che -nell'ambito di una persona giuridica- contribuiscono a formare la volontà di quella parte del processo civile, rispettivamente ne sono organi ( Cocchi / Trezzini , op. cit. , art. 228 CPC, m.</w:t>
      </w:r>
    </w:p>
    <w:p>
      <w:r>
        <w:rPr>
          <w:b/>
        </w:rPr>
        <w:t>E. 5</w:t>
      </w:r>
    </w:p>
    <w:p>
      <w:r>
        <w:t>Davanti al primo giudice la convenuta ha sostenuto anche che determinati lavori fatturati (compresi nell'importo complessivo posto a giudizio) avrebbero dovuto essere pagati da __________ poiché -contrariamente agli accordi- non erano stati da questa eseguiti prima della consegna dello stabilimento. Per questo motivo __________, ricevuta la fattura finale in esame, ne aveva (invano) richiesto il parziale pagamento a chi aveva occupato gli stabilimenti prima di lei. Da questa circostanza l'attrice deduce (anche in questa sede) che controparte abbia di fatto riconosciuto il debito nei suoi confronti, almeno per l'importo corrispondente di fr. 34'299.-. La decisione del primo giudice di non trarre dalla circostanza descritta nessuna conclusione favorevole all'attrice trova conferma anche in questa sede. Infatti, a prescindere dagli accordi intervenuti fra la convenuta e __________, del tutto indifferenti in questo contesto, il solo fatto di pretendere il pagamento di parte della fattura da parte di un terzo, in tutta evidenza, non può valere come riconoscimento di un debito: basti pensare -come già rilevato al capoverso 3 lett. c della presente decisione- che nemmeno il pagamento di una fattura ne impedisce la contestazione.</w:t>
      </w:r>
    </w:p>
    <w:p>
      <w:r>
        <w:rPr>
          <w:b/>
        </w:rPr>
        <w:t>E. 6</w:t>
      </w:r>
    </w:p>
    <w:p>
      <w:r>
        <w:t>Ne consegue la reiezione dell'appello. Tassa di giustizia, spese e le ripetibili seguono la soccombenza. Motivi per i quali, richiamati per le spese l'art. 148 CPC, la LTG e la TOA, pronuncia: 1. L'appello 2 aprile 2001 di __________ é respinto. 2. Le spese e la tassa di giustizia, per complessivi fr. 2'000.-anticipati dall'appellante, restano a suo carico con l'obbligo di rifondere alla parte appellata fr. 2'500.-- per ripetibili. 3. Intimazione a:     - __________ Comunicazione alla Pretura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