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12.2001.175 vom 11. Januar 2002</w:t>
      </w:r>
    </w:p>
    <w:p>
      <w:r>
        <w:t>TI Tribunale d'appello, 2002-01-11, IT</w:t>
      </w:r>
    </w:p>
    <w:p>
      <w:r>
        <w:rPr>
          <w:b/>
        </w:rPr>
        <w:t xml:space="preserve">Quelle: </w:t>
      </w:r>
      <w:r>
        <w:t>https://mcp.opencaselaw.ch/entscheid/ti_gerichte_12.2001.175</w:t>
      </w:r>
    </w:p>
    <w:p>
      <w:r>
        <w:t>FR: TI_GERICHTE 12.2001.175 du 11 janvier 2002</w:t>
      </w:r>
    </w:p>
    <w:p>
      <w:r>
        <w:t>IT: TI_GERICHTE 12.2001.175 del 11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Dovendosi dichiarare nulla la decisione appellata non torna conto affrontare la censura riguardante la nullità, o l'annullabilità, della citazione all'udienza di discussione perché notificata alla sola parte convenuta e non al suo patrocinatore. La questione potrebbe, in ogni caso, essere risolta con la procedura che il Pretore dovrà nuovamente affrontare in forza del rinvio del presente giudizio.</w:t>
      </w:r>
    </w:p>
    <w:p>
      <w:r>
        <w:rPr>
          <w:b/>
        </w:rPr>
        <w:t>E. 8</w:t>
      </w:r>
    </w:p>
    <w:p>
      <w:r>
        <w:t>Poiché la nullità della sentenza è la conseguenza dell'errato operato del primo giudice si prescinde dall'esporre le tasse e le spese del presente giudizio e non sono assegnate ripetibili all'appellante poiché l'esito della pronuncia d'appello non dipende da sue censure. Per i quali motivi visti gli art. 274g CO, 507 cpv. 4 e 285 cpv. 2 CO dichiara e pronuncia 1. Il decreto di sfratto 5 ottobre 2001 del Pretore del distretto di Lugano, nella causa inc. no. SF.2001.00218 __________ /__________, è nullo. 2. Gli atti sono ritornati al Pretore per i suoi incombenti. 3. Non si prelevano tasse o spese. 4. Intimazione a: -__________ Comunicazione alla Pretura di Lugano, sez. 4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