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12.2001.163 vom 16. Juli 2002</w:t>
      </w:r>
    </w:p>
    <w:p>
      <w:r>
        <w:t>TI Tribunale d'appello, 2002-07-16, IT</w:t>
      </w:r>
    </w:p>
    <w:p>
      <w:r>
        <w:rPr>
          <w:b/>
        </w:rPr>
        <w:t xml:space="preserve">Quelle: </w:t>
      </w:r>
      <w:r>
        <w:t>https://mcp.opencaselaw.ch/entscheid/ti_gerichte_12.2001.163</w:t>
      </w:r>
    </w:p>
    <w:p>
      <w:r>
        <w:t>FR: TI_GERICHTE 12.2001.163 du 16 juillet 2002</w:t>
      </w:r>
    </w:p>
    <w:p>
      <w:r>
        <w:t>IT: TI_GERICHTE 12.2001.163 del 16 luglio 2002</w:t>
      </w:r>
    </w:p>
    <w:p>
      <w:pPr>
        <w:pStyle w:val="Heading2"/>
      </w:pPr>
      <w:r>
        <w:t>Regeste</w:t>
      </w:r>
    </w:p>
    <w:p>
      <w:r>
        <w:t>Sentenza o decisione senza scheda</w:t>
      </w:r>
    </w:p>
    <w:p>
      <w:pPr>
        <w:pStyle w:val="Heading2"/>
      </w:pPr>
      <w:r>
        <w:t>Erwägungen</w:t>
      </w:r>
    </w:p>
    <w:p>
      <w:r>
        <w:rPr>
          <w:b/>
        </w:rPr>
        <w:t>E. 16</w:t>
      </w:r>
    </w:p>
    <w:p>
      <w:r>
        <w:t>Dall’istruttoria è altresì emerso che il contratto d’appalto di cui al doc. 5 è stato redatto successivamente alla data indicata (13 luglio 1993) ed è stato sottoscritto per __________ dall’architetto __________. L’iniziativa di redigere il predetto contratto è da ricondurre a __________, il quale chiese a __________ di sottoscriverlo imitando la firma di __________ (doc. CC, doc. SS, pag. 1 e 2; testi __________, 25.11.1997, pag. 2 e __________, pag. 4). __________ ha confermato tale circostanza nell’ambito della sua audizione testimoniale e nel suo allegato 19 ottobre 1998 al Ministero pubblico (doc. NN; v. teste __________ e IF __________). Dai doc. DD ed EE si rileva che il contratto di appalto, datato 13 luglio 1993, è stato creato il 15 settembre 1993 indicando un importo di appalto di 23 miliardi di lire, ed è poi stato modificato 16 novembre 1993 con un importo di appalto di 20 miliardi di lire (v. doc. FF e OO; testi __________, 25.11.1997, pag. 2, __________, pag. 4 e __________, pag. 6). Si rileva che le risultanze istruttorie sono in netto contrasto con quanto affermato da __________ negli allegati scritti in merito al prezzo e alle circostanze dell’allestimento del contratto di cui al doc. 5 (risposta 20.3.1997, pag. 6 e 7; duplica, pag. 11 e 12). Dalle testimonianze __________ e __________ si rileva che anche in questo caso __________ non era stato informato di tale contratto (testi __________, pag. 3 e __________, pag. 4). __________ ha inoltre dichiarato: “Mi ricordo che il secondo (__________) si opponeva che __________ versasse a __________ delle somme di denaro sostenendo che il corrispettivo previsto dal contratto d’appalto già era stato interamente versato. L’arch. __________ sosteneva che non c’era contratto d’appalto. Il dottor __________ chiamò allora la signora __________ … e le fece portare il contratto. L’arch. __________ disse di non averlo firmato e lo buttò sul tavolo” (teste __________, pag. 8). Come giustamente evidenziato dal Pretore, visto che alla fine di tutta l’operazione commerciale __________ avrebbe dovuto acquistare il 90% delle azioni __________ tramite __________, una parte dell’utile ricavato da __________ (e quindi da __________) sarebbe rientrata appunto in __________. È chiaro che __________, qualora avesse detenuto una parte del pacchetto azionario di __________ avrebbe beneficiato di questo utile in ragione del 55,55%. __________ allestì il contratto di appalto tra __________ e __________ e lo fece firmare da __________ imitando la firma di __________, provvedendo però a diminuire la mercede a favore di __________ da 23 a 20 milioni. In questo modo l’utile di __________ era maggiore e di riflesso anche il valore della partecipazione di __________ in __________ tramite __________ aumentava.</w:t>
      </w:r>
    </w:p>
    <w:p>
      <w:r>
        <w:rPr>
          <w:b/>
        </w:rPr>
        <w:t>E. 17</w:t>
      </w:r>
    </w:p>
    <w:p>
      <w:r>
        <w:t>Al contrario di quanto preteso dall’appellante, si osserva altresì che la suddivisione del pacchetto azionario in ragione del 55,55% per __________ e del 44,45% per __________ non garantisce una partecipazione paritetica dei due soggetti in seno a __________. Infatti, in tal modo, __________ avrebbe controllato __________ quale azionista di maggioranza e a sua volta __________ avrebbe controllato, quale detentrice del 90% delle azioni – contro il 10% di __________ – anche __________. È chiaro che questo non rientrava né nelle intenzioni di __________ né in quelle di __________. __________ ha infatti dichiarato che seguendo la tesi di __________ sarebbe emersa una posizione maggioritaria del detentore del 55,55% poiché “se una parte detenesse la maggioranza delle azioni della società lussemburghese, controllerebbe automaticamente la società italiana partecipata [ __________, ndr ] e questo fatto non potrebbe essere riequilibrato tramite la società fiduciaria italiana che deteneva il rimanente 10% [ di __________, ossia __________, ndr ] ” (IF __________, pag. 21, ad 5).</w:t>
      </w:r>
    </w:p>
    <w:p>
      <w:r>
        <w:rPr>
          <w:b/>
        </w:rPr>
        <w:t>E. 18</w:t>
      </w:r>
    </w:p>
    <w:p>
      <w:r>
        <w:t>L’appellante sostiene inoltre, a torto, che il Pretore non avrebbe valutato correttamente le testimonianze __________, __________ e __________. Per quanto concerne la testimonianza di __________ si rileva che la stessa non è esattamente situabile nel tempo, è imprecisa poiché non riporta il tipo di operazione che egli in qualità di mandatario avrebbe dovuto svolgere (in particolare non si parla di alcuna variante con una società sanmarinese). In ogni caso, lo stesso __________ avrebbe distrutto ogni documentazione relativa al predetto mandato su indicazione di __________ – ma non di __________ (teste __________, 7.4.1998, pag. 1). __________ inoltre ha contestato di aver rilasciato un mandato fiduciario a favore di __________ e la stessa società ha attestato che nella propria documentazione non risultano mandati fiduciari a nome di __________ (doc. LL e MM). Non è quindi provata l’asserita partecipazione da parte di __________ alla valutazione di altre vie percorribili (come la costituzione di una società sanmarinese) che secondo l’appellante proverebbe un suo interesse personale nell’operazione commerciale e quindi in __________. Per quanto concerne il teste __________ si rileva che egli aveva ricevuto mandato di patrocinio da __________ e __________ quali soci __________ nella vertenza avuta nel 1992 con __________ (doc. 4, O; v. testi __________, pag. 16 e __________, pag. 5). Ne discende che egli nulla poteva dire su fatti percepiti in prima persona su __________. Infine, pure la testimonianza __________ non ha portata probatoria poiché questi ha affermato che fino al 1996 non aveva sentito parlare di __________ (teste __________, pag. 7). Lo stesso teste non ha quindi riportato fatti percepiti personalmente e quindi la sua testimonianza è inconferente ( Cocchi/Trezzini , CPC massimato e commentato, Lugano 2000, n. 1 e 2 ad art. 237 CPC). Di conseguenza il Pretore ha valutato correttamente la portata delle predette audizioni testimoniali. Alla luce di quanto esposto, le tesi di __________ non trovano seguito e pertanto la pretesa di restituzione del 55,55% delle azioni di __________ risulta infondata. L’appello deve essere respinto. Spese e ripetibili seguono la soccombenza. Per i quali motivi pronuncia: 1.   L’appello 2 ottobre 2001 di __________ è respinto. 2.   Le spese della procedura di appello consistenti in: a) tassa di giustizia                                               fr.   9’900.-- b) spese                                                                 fr. 100.-- totale                                                                       fr. 10’000.-- sono poste a carico dell’appellante, con l’obbligo di rifondere alla parte appellata la somma di fr. 20'000.-- per ripetibili di appello. 3.   Intimazione: - __________ Comunicazione alla Pretura del Distretto di Lugano, sezione 1.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