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12.2001.119 vom 15. November 2001</w:t>
      </w:r>
    </w:p>
    <w:p>
      <w:r>
        <w:t>TI Tribunale d'appello, 2001-11-15, IT</w:t>
      </w:r>
    </w:p>
    <w:p>
      <w:r>
        <w:rPr>
          <w:b/>
        </w:rPr>
        <w:t xml:space="preserve">Quelle: </w:t>
      </w:r>
      <w:r>
        <w:t>https://mcp.opencaselaw.ch/entscheid/ti_gerichte_12.2001.119</w:t>
      </w:r>
    </w:p>
    <w:p>
      <w:r>
        <w:t>FR: TI_GERICHTE 12.2001.119 du 15 novembre 2001</w:t>
      </w:r>
    </w:p>
    <w:p>
      <w:r>
        <w:t>IT: TI_GERICHTE 12.2001.119 del 15 novembre 2001</w:t>
      </w:r>
    </w:p>
    <w:p>
      <w:pPr>
        <w:pStyle w:val="Heading2"/>
      </w:pPr>
      <w:r>
        <w:t>Regeste</w:t>
      </w:r>
    </w:p>
    <w:p>
      <w:r>
        <w:t>Sentenza o decisione senza scheda</w:t>
      </w:r>
    </w:p>
    <w:p>
      <w:pPr>
        <w:pStyle w:val="Heading2"/>
      </w:pPr>
      <w:r>
        <w:t>Erwägungen</w:t>
      </w:r>
    </w:p>
    <w:p>
      <w:r>
        <w:rPr>
          <w:b/>
        </w:rPr>
        <w:t>E. 1</w:t>
      </w:r>
    </w:p>
    <w:p>
      <w:r>
        <w:t>Giustamente, il primo giudice ha ritenuto che punto di partenza per decidere l'istanza fosse la sentenza del Tribunale federale, emanata nell'ambito dell'art. 261 CO, mediante la quale è stato sancito il principio secondo cui con il doppio turno d'asta i contratti di locazione di lunga durata non vengono a cadere, ma passano all'acquirente, il quale può dare la disdetta per la successiva scadenza legale a prescindere dall'urgente bisogno personale (cfr. DTF 125 III 123, 126 III 292; IICCA 19 aprile 2001 in re C./V.).</w:t>
      </w:r>
    </w:p>
    <w:p>
      <w:r>
        <w:rPr>
          <w:b/>
        </w:rPr>
        <w:t>E. 2</w:t>
      </w:r>
    </w:p>
    <w:p>
      <w:r>
        <w:t>Giusta l'art. 271 cpv. 1 CO la disdetta può essere contestata se contraria alle regole della buona fede, ritenuto che ai sensi dell'art. 271a cpv. 1 lett. d CO essa può in particolare essere contestata se è data dal locatore durante un procedimento di conciliazione o giudiziario in relazione con la locazione, semprechè il conduttore non l'abbia intrapreso in maniera abusiva. Nel caso di specie, contrariamente a quanto ritenuto dall'istante, non è assolutamente necessario stabilire se la pendenza avanti all'Ufficio di conciliazione di un'azione di contestazione avverso la disdetta 4 agosto 2000 possa configurare un caso di applicazione dell'art. 271a cpv. 1 lett. d CO. Il cpv. 3 lett. d della medesima norma prevede in effetti che quella disposizione di legge non risulta applicabile se la disdetta è stata data in seguito all'alienazione della cosa locata (art. 261 cpv. 2 CO) - per inciso si osserva che l'inoltro di una disdetta per mora da parte dell'acquirente non gli preclude la possibilità di pronunciare una successiva disdetta ai sensi dell'art. 261 CO (cfr. Higi , Zürcher Kommentar, N. 35 ad art. 261-261a CO) - e ciò anche se si tratta, come in concreto, di una vendita ai pubblici incanti, con doppio turno d'asta e senza aggravio del contratto di locazione (cfr. Lüthi/Zirlick , Die ausserordentliche Kündigung des Mietvertrages infolge Doppelaufrufs, in AJP 1999 p. 1335 e seg.; Pietruszak / Zachariae , Der Schutz des Mieters von Wohn- und Geschäftsräumen in der Zwangsverwertung, in recht 2000 p. 51). L'istruttoria di causa ha in ogni caso escluso che la disdetta del 14 settembre 2000 potesse costituire un eventuale atto di ritorsione - in quanto tale abusivo - per il fatto che l'istante aveva "osato" contestare la precedente disdetta: in effetti la nuova proprietaria, già in precedenza e meglio nel mese di giugno di quell'anno, aveva provveduto ad informare la conduttrice circa l'intenzione di non più proseguire nel contratto di locazione (doc. 7).</w:t>
      </w:r>
    </w:p>
    <w:p>
      <w:r>
        <w:rPr>
          <w:b/>
        </w:rPr>
        <w:t>E. 3</w:t>
      </w:r>
    </w:p>
    <w:p>
      <w:r>
        <w:t>Ammessa con ciò la validità della disdetta 14 settembre 2000 con effetto al 29 marzo 2001, si tratta ora di esaminare se l'istante nelle particolari circostanze possa pretendere un'eventuale protrazione del contratto fino al 31 dicembre 2003, fermo restando che la convenuta si è opposta a qualsiasi proroga del rapporto locativo. Il Tribunale federale, nelle sentenze citate in precedenza, non ha chiarito se ed eventualmente a quali condizioni il conduttore il cui contratto di locazione è stato disdetto dall'aggiudicatario dopo un doppio turno d'asta possa beneficiare di una protrazione. La dottrina, chinatasi sulla particolare questione, è in proposito assai divisa: mentre alcuni autori, ispirandosi alle finalità perseguite dall'Alta Corte, si sono senz'altro pronunciati per la negativa ( Tercier/Pichonnaz , Créanciers hypothécaires c. locataires?, in RFJ 1995 p. 33 e seg.; Monnier , Bevorzugte Mieter?, in IWIR 1/1998 p. 24; Dubach , Zur Anwendbarkeit des Doppelaufrufs bei Miet- und Pachtverhältnissen, in BlSchK 1999 p. 48; Lüthi , Le contrat de bail, son effet réel et la procédure de la double mise à prix lors de la résiliation forcée de l'immeuble, in AJP 1998 p. 1124; Brönnimann , Zwangsvollstreckungsrechtliche Risiken bei Grundpfandrechten, Berna 1996, p. 157; Lüthi/Zirlick , op. cit., p. 1336), altri, senza invero soffermarsi più di tanto sulla questione, si sono espressi per la tesi opposta ( Meyer , La fin du bail lors de la double mise à prix, in RFJ 1996 p. 11 e seg.; Ottiger , Bei Konkurs entfällt feste Vertragsdauer, in plädoyer 3/99 p. 61; D. Piotet , Le créancier-gagiste peut exiger la double mise à prix de baux annotés ou non annotés, de courte ou de longue durée - En cas de double mise à prix, ces baux passent à l'adjudicataire, mais celui-ci peut les résilier pour le prochain terme légal, sans être tenu par les conditions de l'art. 261 al. 2 lit. a CO, in AJP 1999 p. 1341; Richard , Le conflit entre les droits du locataire et les droits du créancier-gagiste à l'occasion de la réalisation forcée de l'immeuble, in CdB 199 p. 87 e seg.; Bise , La faillite du bailleur, in 11. Séminaire sur le droit du bail, Neuchâtel 2000, p. 26; Pietruszak/Zachariae , op. cit., p. 55); altri ancora, pur ammettendo tale facoltà teorica, ritengono che in pratica le possibilità del conduttore di ottenere in tal caso una protrazione siano assai ridotte ( Lachat , La résiliation du bail en cas d'aliénation de l'immeuble et d'insolvabilité du bailleur, in CdB 1999 n. 77 p. 82), specialmente nel caso in cui il contratto di locazione sia svantaggioso per l'acquirente ( Tschudi , Anwendung und Wirkung des Doppelaufrufs auf Miet- und Pachtverhältnisse, in MRA 1999 p. 116; cfr. pure Dubach , op. cit., p. 46; cfr. pure sentenza IICCA citata). Nel caso di specie, non occorre tutto sommato approfondire più di tanto la questione. Quand'anche in effetti si volessero esaminare i contrapposti interessi delle parti in causa ai sensi dell'art. 272 CO, si dovrebbe in ogni caso concludere che la parte istante, oltre a non aver dato prova di ricerche di enti sostitutivi, non ha nemmeno reso verosimile - ancor prima che provato - di subire particolari effetti gravosi da tale circostanza: in presenza di un contratto che le garantiva la permanenza nell'ente locato solo fino al 31 dicembre 1999, essa doveva in effetti rendersi conto del rischio di non poter ammortizzare completamente gli importanti investimenti effettuati, dell'ordine di circa fr. 400'000.-- (cfr. doc. 2), per cui nelle particolari circostanze il suo desiderio di ulteriormente ammortizzare quegli investimenti, l'unico aspetto da lei evocato a sostegno di una protrazione, non concretizza ancora un effetto gravoso ai sensi della normativa ( SVIT , Mietrecht Kommentar, 2. ed., Zurigo 1998, N. 43 ad art. 272 CO; Giger , Die Erstreckung des Mietverhältnisses (Art. 272-272d OR), Zurigo 1995, p. 96; IICCA 27 luglio 1992 in re B./S., 12 febbraio 1995 in re L./C., 13 febbraio 1995 in re H. SA/S. SA, 12 aprile 1998 in re G./M. e lc., 19 aprile 2001 in re C./V., 7 novembre 2001 in re R./C.), tanto più che gli stessi potranno semmai essere oggetto di una pretesa ex art. 260a cpv. 3 CO. D'altro canto, contrariamente a quanto ritenuto dal primo giudice, il fatto che la convenuta non abbia ritenuto di impugnare la decisione con cui l'Ufficio di conciliazione aveva concesso una protrazione fino al 29 settembre 2001, non può assolutamente giovare all'istante, già per il solo fatto che, avendola comunque impugnata quest'ultima, quella pronuncia non ha assunto forza di cosa giudicata (cfr. Cocchi/Trezzini, CPC-TI, Lugano 2000, m. 10 ad art. 404), tanto più che nella sede pretorile la convenuta si è chiaramente opposta a qualsiasi protrazione. In definitiva, non appare dunque giustificato concedere una protrazione all'istante, oltretutto in liquidazione, tanto più che nelle more della causa quest'ultima ha ormai già potuto beneficiare di una protrazione di fatto di 4 mesi e mezzo ed altri 3 mesi sono trascorsi fino all'emanazione di questo giudizio - complessivamente, quindi, oltre 7 mesi e mezzo - così che in buona sostanza già si è tenuto conto, in maniera oltretutto alquanto generosa, dei suoi interessi.</w:t>
      </w:r>
    </w:p>
    <w:p>
      <w:r>
        <w:rPr>
          <w:b/>
        </w:rPr>
        <w:t>E. 4</w:t>
      </w:r>
    </w:p>
    <w:p>
      <w:r>
        <w:t>Non può di contro essere ammessa la richiesta della convenuta di far ordine alla controparte di liberare l'ente locato a far tempo dal 29 marzo 2001. Tale richiesta costituisce innanzitutto una domanda riconvenzionale, che in quanto tale è improponibile nella procedura speciale in materia di locazione (art. 406 cpv. 1 CPC). D'altro canto la stessa configura una domanda di sfratto, che tuttavia sottostà a un'altra e diversa procedura (art. 506 CPC), così che in definitiva la questione non può essere esaminata o decisa nell'ambito di questa causa.</w:t>
      </w:r>
    </w:p>
    <w:p>
      <w:r>
        <w:rPr>
          <w:b/>
        </w:rPr>
        <w:t>E. 5</w:t>
      </w:r>
    </w:p>
    <w:p>
      <w:r>
        <w:t>Ne discende la reiezione dell'appello dell'istante e il parziale accoglimento di quello della convenuta ai sensi dei considerandi. La tassa di giustizia, le spese e le ripetibili di entrambe le sedi seguono la soccombenza (art. 148 CPC). Per i quali motivi, richiamati gli art. 148 CPC e la TG dichiara e pronuncia: I. L’appello 23 agosto 2001 di __________ in liquidazione è respinto. II. Le spese della procedura d’appello di cui al dispositivo I consistenti in: a) tassa di giustizia                                 fr.     780.-- b) spese                                                   fr.        20.-- Totale                                                        fr.     800.-- da anticiparsi dall’appellante __________ in liquidazione, restano a suo carico con l’obbligo di rifondere alla parte appellata fr. 1'500.-- per ripetibili. III. L’appello 23 agosto 2001 di __________ è parzialmente accolto . Di conseguenza la sentenza 10 agosto 2001 della Pretura del distretto di Lugano, Sezione 4, invariato il dispositivo 2., è così riformata: 1. L'istanza 12 gennaio 2001 è respinta. 3. Non è concessa alcuna protrazione del contratto di locazione. 4. La tassa di giustizia di fr. 1’700.-- e le spese di fr. 300.--, da anticipare dall'istante, restano a suo carico per 9/10  e per la rimanenza sono poste a carico della convenuta, cui l'istante verserà fr. 3'125.-- per parte di ripetibili. IV. Le spese della procedura d’appello di cui al dispositivo III consistenti in: a) tassa di giustizia                                 fr.     780.-- b) spese                                                   fr.        20.-- Totale                                                        fr.     800.-- da anticiparsi dall’appellante __________, restano a suo carico per 1/2 e per 1/2 sono poste a carico dell’appellata, compensate le ripetibili di appello. V. Intimazione a:     - __________ Comunicazione alla Pretura del distretto di Lugano, Sezione 4.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