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12.2001.107 vom 29. August 2001</w:t>
      </w:r>
    </w:p>
    <w:p>
      <w:r>
        <w:t>TI Tribunale d'appello, 2001-08-29, IT</w:t>
      </w:r>
    </w:p>
    <w:p>
      <w:r>
        <w:rPr>
          <w:b/>
        </w:rPr>
        <w:t xml:space="preserve">Quelle: </w:t>
      </w:r>
      <w:r>
        <w:t>https://mcp.opencaselaw.ch/entscheid/ti_gerichte_12.2001.107</w:t>
      </w:r>
    </w:p>
    <w:p>
      <w:r>
        <w:t>FR: TI_GERICHTE 12.2001.107 du 29 août 2001</w:t>
      </w:r>
    </w:p>
    <w:p>
      <w:r>
        <w:t>IT: TI_GERICHTE 12.2001.107 del 29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25 maggio 2001 di __________ è accolta. § È ordinato lo sfratto immediato della signora __________ dall'appartamento n. 11 di proprietà del signor __________, situato nel Condominio __________ di __________. §§ Il suddetto ordine viene impartito con la comminatoria dell'azione penale per disobbedienza a decisione dell'autorità ai sensi dell'art. 292 CPS, che recita "chiunque non ottempera ad una decisione a lui intimata da una autorità competente o da un funzionario competente sotto comminatoria della pena prevista nel presente articolo, è punito con l'arresto o con la multa". §§§ È fatto ordine ad ogni usciere o ad ogni agente della forza pubblica di prestare man forte per l'esecuzione dello sfratto a semplice richiesta dell'istante con la sola assistenza di un municipale.</w:t>
      </w:r>
    </w:p>
    <w:p>
      <w:r>
        <w:rPr>
          <w:b/>
        </w:rPr>
        <w:t>E. 2</w:t>
      </w:r>
    </w:p>
    <w:p>
      <w:r>
        <w:t>La tassa di giustizia di fr. 250.- e le spese di fr. 50.-, da anticipare dall'istante, sono poste a carico della convenuta, che rifonderà all'istante fr. 400.- a titolo di ripetibili. II. Le spese della procedura d’appello consistenti in: a) tassa di giustizia        fr.  180.- b) spese fr.    20.- Totale fr.  200.- da anticiparsi dall’appellante, sono poste a carico dell’appellata, che rifonderà alla controparte fr. 200.- per ripetibili di appello. III. Intimazione a:      - __________ Comunicazione alla Pretura del distretto di Lugano, Sezione 4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