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12.2000.89 vom 25. Mai 2000</w:t>
      </w:r>
    </w:p>
    <w:p>
      <w:r>
        <w:t>TI Tribunale d'appello, 2000-05-25, IT</w:t>
      </w:r>
    </w:p>
    <w:p>
      <w:r>
        <w:rPr>
          <w:b/>
        </w:rPr>
        <w:t xml:space="preserve">Quelle: </w:t>
      </w:r>
      <w:r>
        <w:t>https://mcp.opencaselaw.ch/entscheid/ti_gerichte_12.2000.89</w:t>
      </w:r>
    </w:p>
    <w:p>
      <w:r>
        <w:t>FR: TI_GERICHTE 12.2000.89 du 25 mai 2000</w:t>
      </w:r>
    </w:p>
    <w:p>
      <w:r>
        <w:t>IT: TI_GERICHTE 12.2000.89 del 25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25.05.2000 12.2000.89</w:t>
      </w:r>
    </w:p>
    <w:p>
      <w:r>
        <w:t>Sentenza o decisione senza scheda</w:t>
      </w:r>
    </w:p>
    <w:p>
      <w:r>
        <w:t>Incarto n. 12.2000.00089 Lugano 25 maggio 2000 In nome della Repubblica e Cantone del Ticino La seconda Camera civile del Tribunale d'appello composta dei giudici: Cocchi, presidente, Chiesa, Zali segretario: Petrini sedente per statuire nella causa DI.2000.00062 della Pretura della giurisdizione di Locarno-Città promossa in data 4 aprile 2000 da __________ __________ rappr. dall' avv. __________ contro __________ __________ rappr. dall'avv. __________ Visto l'appello 15 maggio 2000 introdotto direttamente dai convenuti contro la sentenza di sfratto 2 maggio 2000 prolata dal Pretore della giurisdizione di Locarno-città; richiamato il decreto 17 maggio u.s. del Presidente della scrivente Camera che accordava effetto sospensivo al gravame; preso atto dello scritto 24 maggio 2000 dell'avv. __________ mediante il quale comunica di ritirare il ricorso, le parti avendo tra loro trovato una soluzione extragiudiziaria; considerato come la procedura d'appello sia così divenuta priva d'oggetto, d e c r e t a : 1) L'appello 15 maggio 2000 di _________ e __________, avverso la decisione 2 maggio 2000 del Pretore della giurisdizione di Locarno-città, divenuto privo d'oggetto, è stralciato dai ruoli. 2) La tassa di giustizia e le spese del presente giudizio in complessivi Fr. 50.-- sono poste a carico degli appellanti in solido. 3) Intimazione a: -__________ Comunicazione alla Pretura di Locarno-città, Locarno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