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12.2000.69 vom 19. April 2000</w:t>
      </w:r>
    </w:p>
    <w:p>
      <w:r>
        <w:t>TI Tribunale d'appello, 2000-04-19, IT</w:t>
      </w:r>
    </w:p>
    <w:p>
      <w:r>
        <w:rPr>
          <w:b/>
        </w:rPr>
        <w:t xml:space="preserve">Quelle: </w:t>
      </w:r>
      <w:r>
        <w:t>https://mcp.opencaselaw.ch/entscheid/ti_gerichte_12.2000.69</w:t>
      </w:r>
    </w:p>
    <w:p>
      <w:r>
        <w:t>FR: TI_GERICHTE 12.2000.69 du 19 avril 2000</w:t>
      </w:r>
    </w:p>
    <w:p>
      <w:r>
        <w:t>IT: TI_GERICHTE 12.2000.69 del 19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19.04.2000 12.2000.69</w:t>
      </w:r>
    </w:p>
    <w:p>
      <w:r>
        <w:t>Sentenza o decisione senza scheda</w:t>
      </w:r>
    </w:p>
    <w:p>
      <w:r>
        <w:t>Incarto n. 12.2000.00069 Lugano 19 aprile 2000 /fb In nome della Repubblica e Cantone del Ticino La seconda Camera civile del Tribunale d'appello composta dei giudici: Cocchi, presidente Chiesa e Zali segretario: Petrini sedente per statuire nella causa inc. no. SF.2000.00035 della Pretura del Distretto di Lugano, sezione 4 promossa con istanza di sfratto 3 febbraio 2000 da __________ rappr. dall'avv. __________ contro __________ rappr. da __________ che il Pretore, con decisione 5 aprile 2000, ha accolto ordinando al convenuto di mettere a libera disposizione dell'istante i locali commerciali occupati nello stabile __________, in __________ ad __________. Appellante il convenuto il quale, con atto di ricorso 14 aprile 2000, chiede: 1. Al presente ricorso è concesso effetto sospensivo e il ricorrente è pertanto autorizzato a non lasciare i locali. 2. Protestate tasse, spese e ripetibili. Letti ed esaminati gli atti ed i documenti di causa. Considerato che l'atto di ricorso deve contenere, pena la sua nullità, i motivi di fatto e di diritto sui quali si fonda l'appellazione (art. 309 cpv. 2 litt. f CPC e 309 cpv. 5 CPC) ed anche la formulazione chiara delle domande d'appello (art. 309 cpv. 2 litt. e CPC); che l'appellante si limita a chiedere ed a sostanziare la concessione dell'effetto sospensivo al suo ricorso senza spendere una parola di critica sui motivi addotti dal Pretore per accogliere l'istanza di sfratto e senza chiedere la riforma di quel giudizio; che, in simili circostanze, l'appello è inammissibile ( Cocchi/Trezzini , CPC-TI, ad art. 309 m. 7 e 16); che, anche volendo essere meno rigorosi nell'applicazione della sanzione procedurale della nullità dell'appello, non si può giungere ad altra soluzione che a quella della reiezione del gravame, l'unico motivo addotto per opporsi allo sfratto essendo riferito alle conseguenze negative economiche della chiusura dell'attività commerciale esercitata nei vani locati; che, infatti, di fronte all'incontestatibile ed incontestata fine del rapporto di locazione, il differimento dello sfratto - unica richiesta formulata in definitiva dall'appellante - non è possibile ( Cocchi/Trezzini , CPC-TI, ad art. 508 m. 9); che un termine di moratoria, in ogni caso di breve durata, potrebbe essere considerato solo per motivi umanitari ( Cocchi/Trezzini , CPC-TI, ad art. 508 n. 1044) che non sono, evidentemente, adempiuti in un contesto economico-commerciale come quello all'esame; che l'appello, inammissibile ed infondato, può così essere respinto già all'esame preliminare dell'art. 313bis CPC senza necessità di chiedere alla controparte di esprimersi al riguardo; Per i quali motivi vista, per le spese, la TG dichiara e pronuncia 1. L'appello 14 aprile 2000 di __________ è respinto. 2. La tassa di giustizia di Fr. 100.- e le spese di Fr. 20.- (totale     Fr. 120.-) sono a carico dell'appellante. 3. Intimazione a:      - __________ Comunicazione alla Pretura del Distretto di Lugano, sezione 4.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