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12.2000.192 vom 23. November 2000</w:t>
      </w:r>
    </w:p>
    <w:p>
      <w:r>
        <w:t>TI Tribunale d'appello, 2000-11-23, IT</w:t>
      </w:r>
    </w:p>
    <w:p>
      <w:r>
        <w:rPr>
          <w:b/>
        </w:rPr>
        <w:t xml:space="preserve">Quelle: </w:t>
      </w:r>
      <w:r>
        <w:t>https://mcp.opencaselaw.ch/entscheid/ti_gerichte_12.2000.192</w:t>
      </w:r>
    </w:p>
    <w:p>
      <w:r>
        <w:t>FR: TI_GERICHTE 12.2000.192 du 23 novembre 2000</w:t>
      </w:r>
    </w:p>
    <w:p>
      <w:r>
        <w:t>IT: TI_GERICHTE 12.2000.192 del 23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23.11.2000 12.2000.192</w:t>
      </w:r>
    </w:p>
    <w:p>
      <w:r>
        <w:t>Sentenza o decisione senza scheda</w:t>
      </w:r>
    </w:p>
    <w:p>
      <w:r>
        <w:t>Incarto n. 12.2000.00192 Lugano 23 novembre 2000 In nome della Repubblica e Cantone del Ticino La seconda Camera civile del Tribunale d'appello composta dei giudici: Cocchi, presidente Chiesa e Zali segretario: Petrini sedente per statuire nella causa -inc. OA.1996.00161 della Pretura della giurisdizione di Locarno-Città- promossa con petizione 24 giugno 1991 da __________ , già in __________ ora in __________ rappr. dall' avv. __________ Contro __________ a rappr. dall' avv. __________. Ed ora sull'appello 9 ottobre 2000 proposto dall'attore avverso la sentenza 27 settembre 2000 del Pretore della Giurisdizione di Locarno-Città che aveva respinto la petizione di contestazione della causa di sequestro. Visto lo scritto 22 novembre u.s., congiuntamente sottoscritto dai patrocinatori delle parti, mediante il quale essi chiedono di " dichiarare privi di oggetto tutti i gravami connessi con i sequestri e con le decisioni da essi derivanti che ancora non siano stati decisi ". Rilevato come le parti si siano accordate di reciprocamente rinunciare alle ripetibili e di assumersi in misura uguale i costi giudiziari. Richiamati gli art 351 e sg. CPC e la vigente LTg, d e c r e t a : 1. L'appello 9 ottobre 2000 di __________, avverso la decisione 27 settembre 2000 del Pretore della Giurisdizione di Locarno-Città nella procedura contro la __________ , è stralciato dai ruoli. 2. Le spese del presente giudizio, con tassa di giustizia in complessivi Fr. 500.-- (Fr. 450.-- di tassa di giustizia e Fr. 50.-- di spese) già anticipati dall'appellante, sono poste a carico delle parti in ragione di metà ciascuna, compensate le ripetibili. 3. Intimazione a: __________ Comunicazione alla Pretura di Locarno-città, Locarno Per la seconda Camera civile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