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12.2000.117 vom 7. November 2000</w:t>
      </w:r>
    </w:p>
    <w:p>
      <w:r>
        <w:t>TI Tribunale d'appello, 2000-11-07, IT</w:t>
      </w:r>
    </w:p>
    <w:p>
      <w:r>
        <w:rPr>
          <w:b/>
        </w:rPr>
        <w:t xml:space="preserve">Quelle: </w:t>
      </w:r>
      <w:r>
        <w:t>https://mcp.opencaselaw.ch/entscheid/ti_gerichte_12.2000.117</w:t>
      </w:r>
    </w:p>
    <w:p>
      <w:r>
        <w:t>FR: TI_GERICHTE 12.2000.117 du 7 novembre 2000</w:t>
      </w:r>
    </w:p>
    <w:p>
      <w:r>
        <w:t>IT: TI_GERICHTE 12.2000.117 del 7 novembre 2000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13</w:t>
      </w:r>
    </w:p>
    <w:p>
      <w:r>
        <w:t>settembre 2000 possono pertanto, in base alla TOA, essere determinate in fr. 600.--; che per il presente giudizio, resosi necessario a seguito della svista in cui è incorsa la Camera, non si prelevano tasse o spese e non si attribuiscono ripetibili; Per i quali motivi dichiara e pronuncia: I. La domanda di revisione 3 ottobre 2000 dell'avv. __________ è accolta. Di conseguenza il dispositivo n. II della sentenza 28 settembre 2000 di questa Camera è completato nel modo seguente: II. Le spese della procedura d’appello consistenti in: a) tassa di giustizia                                   fr.      480.-- b) spese                                                     fr.        20.-- T o t a l e                                                    fr.      500.-- già anticipati dall’appellante, restano a suo carico, con l'obbligo di rifondere all'attore fr. 600.-- per ripetibili. II. Non si prelevano tasse o spese, non si attribuiscono ripetibili. III. Intimazione a:     - __________ Per la seconda Camera civile del Tribunale d’appello Il presidente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