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12.1999.92 vom 9. September 1999</w:t>
      </w:r>
    </w:p>
    <w:p>
      <w:r>
        <w:t>TI Tribunale d'appello, 1999-09-09, IT</w:t>
      </w:r>
    </w:p>
    <w:p>
      <w:r>
        <w:rPr>
          <w:b/>
        </w:rPr>
        <w:t xml:space="preserve">Quelle: </w:t>
      </w:r>
      <w:r>
        <w:t>https://mcp.opencaselaw.ch/entscheid/ti_gerichte_12.1999.92</w:t>
      </w:r>
    </w:p>
    <w:p>
      <w:r>
        <w:t>FR: TI_GERICHTE 12.1999.92 du 9 septembre 1999</w:t>
      </w:r>
    </w:p>
    <w:p>
      <w:r>
        <w:t>IT: TI_GERICHTE 12.1999.92 del 9 settembre 1999</w:t>
      </w:r>
    </w:p>
    <w:p>
      <w:pPr>
        <w:pStyle w:val="Heading2"/>
      </w:pPr>
      <w:r>
        <w:t>Regeste</w:t>
      </w:r>
    </w:p>
    <w:p>
      <w:r>
        <w:t>Sentenza o decisione senza scheda</w:t>
      </w:r>
    </w:p>
    <w:p>
      <w:pPr>
        <w:pStyle w:val="Heading2"/>
      </w:pPr>
      <w:r>
        <w:t>Erwägungen</w:t>
      </w:r>
    </w:p>
    <w:p>
      <w:r>
        <w:rPr>
          <w:b/>
        </w:rPr>
        <w:t>E. 9</w:t>
      </w:r>
    </w:p>
    <w:p>
      <w:r>
        <w:t>Tutte le  critiche dell’associazione appellante alla sentenza del Pretore si rivelano infondate ed il suo debito, a seguito del licenziamento ingiustificato, è determinato in Fr. 13’750.- oltre interessi al 5% dal 14 ottobre 1998. La conseguenza economica di questo accertamento non è comunque quella auspicata dall’istante dell’attribuzione dell’intero salario riconosciuto per il periodo di disdetta. Egli ha infatti percepito dall’assicurazione disoccupazione l’importo di Fr. 12’042.60, come risulta dall’incarto pretorile (cfr. lettera 26 aprile 1999 della ____________________ con il che egli ha in tal misura perso il diritto di far valere la pretesa nei confronti del datore di lavoro stante la cessione legale prevista dall’art. 29 LADI ( IICCA 31.3.1998 F. c. S. SA). Ne consegue che l’istanza può essere accolta solo per la differenza di Fr. 1’707.40 oltre interessi. Spetterà alla Cassa disoccupazione (che avrebbe potuto e dovuto intervenire in lite indipendentemente dalla anomala denuncia di lite fattale dalla convenuta la quale non ha evidentemente nessuna ragione di regresso nei suoi confronti) agire direttamente contro la __________, ritenuto che questa decisione ha forza di cosa giudicata anche nei confronti del cessionario ( DTF 125 III 8) dal momento che la cessione data del 4 dicembre 1998 (cfr. allegato alla denuncia di lite 28.12.1998) ed è successiva alla litispendenza di questa lite. La prudente riserva del Pretore, di cui al dispositivo 1§§ della sua decisione, non può venire considerata poiché la Cassa non era parte al procedimento e la legittimazione a procedere dell’istante non può essere riconosciuta per gli importi già risarcitigli dall’assicurazione disoccupazione.</w:t>
      </w:r>
    </w:p>
    <w:p>
      <w:r>
        <w:rPr>
          <w:b/>
        </w:rPr>
        <w:t>E. 10</w:t>
      </w:r>
    </w:p>
    <w:p>
      <w:r>
        <w:t>Non si prelevano tasse o spese di giustizia (art. 343 cpv. 3 CO) mentre le ripetibili di prima e seconda istanza vengono compensate poiché il risultato finale, numericamente a sfavore dell’istante, è frutto di un intervento d’ufficio mentre nel merito del litigio la parte convenuta soccombe. Per i quali motivi, visti gli art. 337 e rel. CO, 29 LADI e 148 CPC dichiara e pronuncia I. L'appello 3 maggio 1999 __________ parzialmente accolto ai sensi dei considerandi e di conseguenza la sentenza 22 aprile 1999 del Pretore di Locarno-Campagna viene così riformata: 1. L’istanza è parzialmente accolta e di conseguenza la società __________ è tenuta a versare a __________, l’importo di Fr.  1’707.40 oltre interessi al 5% dal 14 ottobre 1998. 2. Non si prelevano tasse o spese di giudizio, compensate le ripetibili. II. Non si percepiscono tasse e spese per la procedura d’appello, compensata, anche in questa sede, l’indennità ripetibile. III. Intimazione a: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