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12.1998.89 vom 5. Mai 1998</w:t>
      </w:r>
    </w:p>
    <w:p>
      <w:r>
        <w:t>TI Tribunale d'appello, 1998-05-05, IT</w:t>
      </w:r>
    </w:p>
    <w:p>
      <w:r>
        <w:rPr>
          <w:b/>
        </w:rPr>
        <w:t xml:space="preserve">Quelle: </w:t>
      </w:r>
      <w:r>
        <w:t>https://mcp.opencaselaw.ch/entscheid/ti_gerichte_12.1998.89</w:t>
      </w:r>
    </w:p>
    <w:p>
      <w:r>
        <w:t>FR: TI_GERICHTE 12.1998.89 du 5 mai 1998</w:t>
      </w:r>
    </w:p>
    <w:p>
      <w:r>
        <w:t>IT: TI_GERICHTE 12.1998.89 del 5 maggio 1998</w:t>
      </w:r>
    </w:p>
    <w:p>
      <w:pPr>
        <w:pStyle w:val="Heading2"/>
      </w:pPr>
      <w:r>
        <w:t>Volltext</w:t>
      </w:r>
    </w:p>
    <w:p>
      <w:r>
        <w:t>Incarto n.12.98.00089</w:t>
      </w:r>
    </w:p>
    <w:p>
      <w:r>
        <w:t>Lugano</w:t>
      </w:r>
    </w:p>
    <w:p>
      <w:r>
        <w:t>5 maggio 1998</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il ricorso 4 marzo (recte 4 aprile) 1998 presentato da</w:t>
      </w:r>
    </w:p>
    <w:p>
      <w:r>
        <w:t>__________(rappr.  __________)</w:t>
      </w:r>
    </w:p>
    <w:p>
      <w:r>
        <w:t>contro</w:t>
      </w:r>
    </w:p>
    <w:p>
      <w:r>
        <w:t>la decisione 26 marzo 1998del Pretore del Distretto di Lugano, sezione 5 nella procedura promossa con istanza 5 febbraio 1998 dall</w:t>
      </w:r>
    </w:p>
    <w:p>
      <w:r>
        <w:t>__________</w:t>
      </w:r>
    </w:p>
    <w:p>
      <w:r>
        <w:t>chiedente lo scioglimento della società e la nomina dei liquidatori e dei revisori;</w:t>
      </w:r>
    </w:p>
    <w:p>
      <w:r>
        <w:t>richiamata la diffida 8 aprile 1998del presidente di questa Camera mediante la quale alla ricorrente veniva assegnato un termine scadente il27 aprile 1998per effettuare sul c.c.p. 69-10370-9 del Tribunale dappello -introiti AGITI- un deposito difr.500.--a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