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12.1998.81 vom 21. September 1998</w:t>
      </w:r>
    </w:p>
    <w:p>
      <w:r>
        <w:t>TI Tribunale d'appello, 1998-09-21, IT</w:t>
      </w:r>
    </w:p>
    <w:p>
      <w:r>
        <w:rPr>
          <w:b/>
        </w:rPr>
        <w:t xml:space="preserve">Quelle: </w:t>
      </w:r>
      <w:r>
        <w:t>https://mcp.opencaselaw.ch/entscheid/ti_gerichte_12.1998.81</w:t>
      </w:r>
    </w:p>
    <w:p>
      <w:r>
        <w:t>FR: TI_GERICHTE 12.1998.81 du 21 septembre 1998</w:t>
      </w:r>
    </w:p>
    <w:p>
      <w:r>
        <w:t>IT: TI_GERICHTE 12.1998.81 del 21 settembre 1998</w:t>
      </w:r>
    </w:p>
    <w:p>
      <w:pPr>
        <w:pStyle w:val="Heading2"/>
      </w:pPr>
      <w:r>
        <w:t>Regeste</w:t>
      </w:r>
    </w:p>
    <w:p>
      <w:r>
        <w:t>Sentenza o decisione senza scheda</w:t>
      </w:r>
    </w:p>
    <w:p>
      <w:pPr>
        <w:pStyle w:val="Heading2"/>
      </w:pPr>
      <w:r>
        <w:t>Erwägungen</w:t>
      </w:r>
    </w:p>
    <w:p>
      <w:r>
        <w:rPr>
          <w:b/>
        </w:rPr>
        <w:t>E. 11</w:t>
      </w:r>
    </w:p>
    <w:p>
      <w:r>
        <w:t>Si volesse considerare il direttore dell'istituto come un rappresentante non autorizzato, va rilevato l'avallo degli atti da lui compiuti, espresso dall'avv. __________ che ha controfirmato come vicepresidente della fondazione (con firma collettiva a due anche con il direttore __________) sia la risposta presentata il 13 novembre 1997 alla Commissione speciale di ricorso, sia le conclusioni nelle procedura arbitrale e, come presidente, con identico diritto di firma, le osservazioni al presente ricorso. Ma prima ancora, nella memoria 18 settembre 1997 indirizzata alla CPC, la fondazione (rappresentata dall'avv__________ e dal direttore __________) aveva già formalmente "ratificato ad ogni effetto la disdetta di data 16. 7. 1997 intimata alla signora __________ ", e ciò appena preso atto della censura di nullità formale presentata alla CPC con allegato separato dall'avvocato della lavoratrice. A prescindere dall'appartenenza o meno dell'avv. __________ al Consiglio di direzione, non è ragionevolmente possibile mettere in dubbio la piena validità della presa di posizione del Consiglio di fondazione e il vincolo giuridico che scaturisce dai poteri riservati dallo statuto a questo organo. In diritto è comunque ammissibile che un atto, ancorché compiuto da un rappresentante non autorizzato, possa divenire vincolante con la ratifica da parte del rappresentato (art. 38 CO). Questo intervento successivo del rappresentato può essere indirizzato al rappresentante o al terzo e ha effetto retroattivo ( Comm. di Basilea , Obligationenrecht I, 1992, art. 38, n. 5 e 8).</w:t>
      </w:r>
    </w:p>
    <w:p>
      <w:r>
        <w:rPr>
          <w:b/>
        </w:rPr>
        <w:t>E. 12</w:t>
      </w:r>
    </w:p>
    <w:p>
      <w:r>
        <w:t>La censura principale formulata dalla ricorrente non concretizza nessun arbitrio da parte del collegio arbitrale; tanto meno considerando che il lodo -esplicitamente- è stato prolato anche secondo criteri d'equità (considerando 8). Le considerazioni che precedono rendono inutile ogni ulteriore disamina del ricorso, in particolare della censura relativa alla tempestività di presentazione dell'eccezione discussa. Trattandosi di vertenza derivante da un rapporto di lavoro, ancorché sottratta alla giurisdizione ordinaria, si prescinde dall'incasso di spese e di una tassa di giustizia. Per tutti questi motivi, richiamati per le spese l'art. 417 lett. e CPC pronuncia 1. Il ricorso per nullità di __________ è respinto. 2. Non si prelevano spese né tassa di giustizia. La ricorrente verserà alla controparte la somma di fr. 400.- a titolo di ripetibili. 3.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