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12.1998.78 vom 14. April 1998</w:t>
      </w:r>
    </w:p>
    <w:p>
      <w:r>
        <w:t>TI Tribunale d'appello, 1998-04-14, IT</w:t>
      </w:r>
    </w:p>
    <w:p>
      <w:r>
        <w:rPr>
          <w:b/>
        </w:rPr>
        <w:t xml:space="preserve">Quelle: </w:t>
      </w:r>
      <w:r>
        <w:t>https://mcp.opencaselaw.ch/entscheid/ti_gerichte_12.1998.78</w:t>
      </w:r>
    </w:p>
    <w:p>
      <w:r>
        <w:t>FR: TI_GERICHTE 12.1998.78 du 14 avril 1998</w:t>
      </w:r>
    </w:p>
    <w:p>
      <w:r>
        <w:t>IT: TI_GERICHTE 12.1998.78 del 14 aprile 1998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Volltext</w:t>
      </w:r>
    </w:p>
    <w:p>
      <w:r>
        <w:t>Ticino Tribunale di appello diritto civile La seconda Camera civile 14.04.1998 12.1998.78</w:t>
      </w:r>
    </w:p>
    <w:p>
      <w:r>
        <w:t>Sentenza o decisione senza scheda</w:t>
      </w:r>
    </w:p>
    <w:p>
      <w:r>
        <w:t>Incarto n. 12.98.00078 Lugano 14 aprile 1998 /fb In nome della Repubblica e Cantone del Ticino La seconda Camera civile del Tribunale d'appello composta dei giudici: Cocchi, presidente Chiesa e Zali segretario: Petrini sedente per statuire nella causa inc. no. 195UR della Pretura del Distretto di Lugano, sezione 5 promossa con istanza 11 novembre 1997 da __________ contro __________ che il Pretore, con decisione 13 marzo 1998, ha accolto dichiarando sciolta e ponendo in liquidazione la società convenuta. Appellante la __________ la quale chiede, con atto di appello 24 marzo 1998, la riforma del primo giudizio nel senso di respingere l’istanza __________ Essendo stato concesso all’appello effetto sospensivo con giudizio presidenziale del 25 marzo 1998. Ed ora sulla domanda 9 aprile 1998 di stralcio della procedura presentata __________ Letti ed esaminati gli atti ed i documenti prodotti Considerato che l’istanza __________ intesa allo scioglimento della __________ era motivata dal fatto che, entro il 1 luglio 1997 e nemmeno successivamente dopo le diffide d’uso, l’anonima non aveva provveduto ad adeguarsi al nuovo diritto societario (art. 2 cpv. 1 e cpv. 2 Disp. fin. Titolo XXVI del CO), in particolare per quanto riguardava le disposizioni sul capitale minimo dell’art. 621 CO; che la parte convenuta non è comparsa all’udienza di discussione dell’istanza e il Pretore, con la sentenza qui impugnata, ha decretato lo scioglimento e la messa in liquidazione della società; che all’appello della società convenuta è stato accordato effetto sospensivo; che __________ comunica ora che la società in questione ha provveduto al trasferimento di sede ed all’adattamento dello statuto al nuovo diritto azionario e che tali incombenti già erano stati preannunciati all’Ufficio prima della prevista udienza avanti al Pretore; che, stante questa situazione, la procedura dev’essere senz’altro stralciata dai ruoli senza che alla società convenuta, come espressamente chiesto dall’Ufficio, vengano caricate spese le quali saranno a carico, con un’adeguata indennità ripetibile a favore della controparte, __________ Per i quali motivi pronuncia: 1. Le procedure inc. no. 195UR della Pretura di Lugano, sez. 5 e inc. no. 12.98.78 del Tribunale di Appello dipendenti dall’istanza 11 novembre 1997 __________ nei confronti di __________, già a __________ sono stralciate dai ruoli. 2. La tassa di giudizio di Fr. 100.- e le spese della prima sede sono a carico __________                                                          Non si prelevano tasse e spese per la procedura d’appello mentre __________ rifonderà alla __________ l’importo di Fr. 300.- per ripetibili. 3. Intimazione a: – __________ Comunicazione alla Pretura di Lugano, sez. 5 Per la seconda Camera civile del Tribunale d’appello Il presidente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