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12.1998.59 vom 9. September 1998</w:t>
      </w:r>
    </w:p>
    <w:p>
      <w:r>
        <w:t>TI Tribunale d'appello, 1998-09-09, IT</w:t>
      </w:r>
    </w:p>
    <w:p>
      <w:r>
        <w:rPr>
          <w:b/>
        </w:rPr>
        <w:t xml:space="preserve">Quelle: </w:t>
      </w:r>
      <w:r>
        <w:t>https://mcp.opencaselaw.ch/entscheid/ti_gerichte_12.1998.59</w:t>
      </w:r>
    </w:p>
    <w:p>
      <w:r>
        <w:t>FR: TI_GERICHTE 12.1998.59 du 9 septembre 1998</w:t>
      </w:r>
    </w:p>
    <w:p>
      <w:r>
        <w:t>IT: TI_GERICHTE 12.1998.59 del 9 settembre 1998</w:t>
      </w:r>
    </w:p>
    <w:p>
      <w:pPr>
        <w:pStyle w:val="Heading2"/>
      </w:pPr>
      <w:r>
        <w:t>Regeste</w:t>
      </w:r>
    </w:p>
    <w:p>
      <w:r>
        <w:t>Sentenza o decisione senza scheda</w:t>
      </w:r>
    </w:p>
    <w:p>
      <w:pPr>
        <w:pStyle w:val="Heading2"/>
      </w:pPr>
      <w:r>
        <w:t>Erwägungen</w:t>
      </w:r>
    </w:p>
    <w:p>
      <w:r>
        <w:rPr>
          <w:b/>
        </w:rPr>
        <w:t>E. 2</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 In merito alla competenza del giudice civile a statuire, nell’ambito di un’azione di contestazione dell’elenco oneri (art. 140 LEF) rispettivamente della graduatoria (art. 250 LEF), su questioni di carattere fiscale,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5</w:t>
      </w:r>
    </w:p>
    <w:p>
      <w:r>
        <w:t>maggio 1994 in re S. in liq./Comune di B., 26 maggio 1994 in re G.K./S.C.T., 22 maggio 1995 in re G.M. SA/Comune di G. e lc., 27 settembre 1995 in re L.K./S.C.T., 29 agosto 1996 in re G.K./S.C.T., 4 novembre 1996 in re S. in liq./Comune di A.), trova consenziente anche parte della dottrina ( Fritsche/Walder , Schuldbetreibung und Konkurs nach schweizerischem Recht, Vol. 2, Zurigo 1993, § 49 N. 30; Zucker , Das Steuerpfandrecht in den Kantonen, Zurigo 1988, p. 138; critico Pedroli , L'ipoteca legale per crediti d'imposta, in RDAT 1995/I, p. 556 segg.). La competenza formale del giudice del fallimento a statuire in un contenzioso di carattere fiscale nell’ambito di una procedura di contestazione della graduatoria rispettivamente dell’elenco oneri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tuttavia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 6. 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dall’altro però non risultava in alcun modo determinante per il terzo creditore che interveniva nell’ambito dell’azione di contestazione dell’elenco oneri, tanto è vero che questi nella procedura civile di cui all’art. 140 e 250 LEF (basata, diversamente da quella fiscale, sul principio attitatorio) poteva comunque ancora contestare l’esistenza, l’ammontare ed il rango del credito insinuato dall’ente pubblico, ritenuto che spettava a quest’ultimo -in base ai principi che regolano l’onere della prova (art. 8 CC; IICCA 22 maggio 1995 in re G.M. SA/Comune di G. e lc., 27 settembre 1995 in re L.K./S.C.T., 29 agosto 1996 in re G.K./S.C.T., 4 novembre 1996 in re S. in liq./Comune di A.; Cocchi/Trezzini , CPC, ad art. 183, n. 12; Brunner/Houlmann/Reutter , Kollokations- und Widerspruchsklagen nach SchKG, Berna 1994, p. 129)- provare che le premesse per iscrivere in graduatoria il credito fiscale erano date. quo all’appello principale 3. Alla luce di quanto appena esposto, la prima censura d’appello, secondo cui in assenza di tassazioni definitive rispettivamente dei conteggi dell’ipoteca legale quest’ultima non potrebbe essere ammessa dal giudice civile, deve pertanto essere respinta. Del resto, come giustamente accertato dal Pretore, l’ipoteca legale nasce per legge contemporaneamente al credito fiscale che ne risulta garantito ( Reimann/Zuppinger/Scherrer , Kommentar zum Zürcher Steuergesetz, § 157 n. 4); essa sussiste dal momento in cui sono perfezionate le condizioni oggettive e soggettive per la nascita del diritto del Comune (o dello Stato) a un’imposta coperta da questo tipo di garanzia: l’ipoteca legale sorge quindi indipendentemente dall’intimazione del relativo conteggio al debitore dell’imposta e al terzo proprietario del pegno o dalla conclusione della procedura di tassazione con la crescita in giudicato della decisione ( CDT 26 agosto 1991 in re L.S. SA; cfr. Circolare N. 8 della Divisione delle contribuzioni del Dipartimento delle finanze e dell’economia della Repubblica e Cantone del Ticino del 5 marzo 1996, L’ipoteca legale del fisco e le attestazioni vincolanti, in RDAT I/1996 p. 513; cfr. pure IICCA 22 maggio 1995 in re G.M. SA/Comune di G. e lc. 4 novembre 1996 in re S. in liq./Comune di A.; Rep . 1991, p. 532). Che il credito fiscale in questione sia scaduto ed esigibile -contrariamente a quanto ritenuto dall’appellante- non può seriamente essere messo in discussione: l’imposta sull’utile delle persone giuridiche è in effetti dovuta già al momento della chiusura dell’esercizio annuale, se non addirittura al momento della scadenza dell’imposta ordinaria stabilito annualmente dal Municipio (cfr. Bottoli , Lineamenti di diritto tributario ticinese, p. 174). 4. L’appellante, facendo riferimento a una recente sentenza del Tribunale federale, ritiene che l’imposta sugli utili di una società immobiliare non abbia una relazione particolare con il fondo e non possa perciò beneficiare dell’ipoteca legale. A torto. Con la sentenza, non pubblicata nella raccolta ufficiale, IICCTF</w:t>
      </w:r>
    </w:p>
    <w:p>
      <w:r>
        <w:rPr>
          <w:b/>
        </w:rPr>
        <w:t>E. 9</w:t>
      </w:r>
    </w:p>
    <w:p>
      <w:r>
        <w:t>Ne discende la reiezione dell’appello adesivo, con l’accollo di tassa di giustizia, spese e ripetibili a carico del __________. Per i quali motivi, richiamati gli art. 148 CPC e la TG dichiara e pronuncia I. L’appello 6 marzo 1998 di __________ è respinto. II. Le spese della procedura d’appello consistenti in: a) tassa di giustizia      fr.     380.– b) spese                         fr.       20.– Totale                             fr.     400.– da anticiparsi dall’appellante, restano a suo carico con l’obbligo di rifondere alla parte appellata fr. 500.– per ripetibili. III. L’appello adesivo 2 aprile 1998 del __________ è respinto. IV. Le spese della procedura d’appello adesivo consistenti in: a) tassa di giustizia      fr.     130.– b) spese                         fr.       20.– Totale                             fr.     150.– da anticiparsi dall’appellante adesivamente, restano a suo carico con l’obbligo di rifondere alla controparte fr. 200.– per ripetibili. V. Intimazione a: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