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12.1998.276 vom 10. Mai 1998</w:t>
      </w:r>
    </w:p>
    <w:p>
      <w:r>
        <w:t>TI Tribunale d'appello, 1998-05-10, IT</w:t>
      </w:r>
    </w:p>
    <w:p>
      <w:r>
        <w:rPr>
          <w:b/>
        </w:rPr>
        <w:t xml:space="preserve">Quelle: </w:t>
      </w:r>
      <w:r>
        <w:t>https://mcp.opencaselaw.ch/entscheid/ti_gerichte_12.1998.276</w:t>
      </w:r>
    </w:p>
    <w:p>
      <w:r>
        <w:t>FR: TI_GERICHTE 12.1998.276 du 10 mai 1998</w:t>
      </w:r>
    </w:p>
    <w:p>
      <w:r>
        <w:t>IT: TI_GERICHTE 12.1998.276 del 10 maggio 1998</w:t>
      </w:r>
    </w:p>
    <w:p>
      <w:pPr>
        <w:pStyle w:val="Heading2"/>
      </w:pPr>
      <w:r>
        <w:t>Regeste</w:t>
      </w:r>
    </w:p>
    <w:p>
      <w:r>
        <w:t>Sentenza o decisione senza scheda</w:t>
      </w:r>
    </w:p>
    <w:p>
      <w:pPr>
        <w:pStyle w:val="Heading2"/>
      </w:pPr>
      <w:r>
        <w:t>Erwägungen</w:t>
      </w:r>
    </w:p>
    <w:p>
      <w:r>
        <w:rPr>
          <w:b/>
        </w:rPr>
        <w:t>E. 1</w:t>
      </w:r>
    </w:p>
    <w:p>
      <w:r>
        <w:t>Giusta l’art. 60 cpv. 1 CO l’azione di risarcimento o riparazione si prescrive in un anno dal giorno in cui il danneggiato conobbe il danno e la persona responsabile, e in ogni caso nel termine di 10 anni dal giorno dell’atto che ha causato il danno. Il termine stabilito dall’art. 60 cpv. 1 CO comincia a decorrere da quando il creditore conosce l’esistenza, la natura e gli elementi del danno, in modo da poter fondare e motivare un’azione giudiziaria ( DTF 108 Ib 99, cons. 1c con rif.); l’inizio del termine non risale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 DTF 109 II 435), atteso che la prova di tale conoscenza incombe a colui che invoca l’eccezione di prescrizione ( DTF 111 II 58). Conformemente alla giurisprudenza del Tribunale federale, il danno è ritenuto realizzato ("abgeschlossen") nel momento in cui si è manifestato completamente ( DTF 92 II 4, cons. 3), per cui, in casi come quello di specie, il termine di prescrizione comincia a decorrere non tanto per le singole poste del danno, bensì dal momento in cui, in ordine cronologico, si conosce l’ultimo elemento del danno ( IICCA 7 settembre 1995 in re H./A. e llcc., 22 febbraio 1999 in re G./C. AG e llcc., 24 febbraio 1999 in re R./D.G. e G., 3 marzo 1999 in re G.A./ R. e llcc., 12 marzo 1999 in re B./N. SA in fall. e llcc.; Brehm , Berner Kommentar, 2. ed., Berna 1998, n. 29-31 ad art. 60 CO).</w:t>
      </w:r>
    </w:p>
    <w:p>
      <w:r>
        <w:rPr>
          <w:b/>
        </w:rPr>
        <w:t>E. 2</w:t>
      </w:r>
    </w:p>
    <w:p>
      <w:r>
        <w:t>Tali principi sono stati correttamente riassunti nel giudizio impugnato, così che il gravame risulta piuttosto improntato alla determinazione -nel rispetto di detti principi- dell’esatto momento del verificarsi del danno nel suo complesso, e pertanto della decorrenza della prescrizione. conoscenza del danno</w:t>
      </w:r>
    </w:p>
    <w:p>
      <w:r>
        <w:rPr>
          <w:b/>
        </w:rPr>
        <w:t>E. 3</w:t>
      </w:r>
    </w:p>
    <w:p>
      <w:r>
        <w:t>A giudizio del Pretore, la conoscenza del danno da parte dell’attore era avvenuta già al momento del suo allontanamento da __________ nel luglio 1992, al momento della sua scarcerazione il 17 febbraio 1993 o al più tardi allorché egli il 9 marzo 1993 aveva denunciato agli inquirenti __________ per presunte pressioni nei suoi confronti. L’assunto pretorile non può essere condiviso.</w:t>
      </w:r>
    </w:p>
    <w:p>
      <w:r>
        <w:rPr>
          <w:b/>
        </w:rPr>
        <w:t>E. 3.1</w:t>
      </w:r>
    </w:p>
    <w:p>
      <w:r>
        <w:t>L’allontanamento dell’attore da __________ nell’estate 1992 comportava ovviamente la perdita del salario sino ad allora percepito, ma a quel momento, proprio perché egli non era stato ancora denunciato e incarcerato -il che era divenuto di dominio pubblico- non vi era motivo per ritenere che la sua carriera sarebbe stata compromessa rispettivamente che egli avrebbe avuto problemi nel rientrare nel mondo del lavoro. La circostanza non è perciò decisiva per la decorrenza della prescrizione.</w:t>
      </w:r>
    </w:p>
    <w:p>
      <w:r>
        <w:rPr>
          <w:b/>
        </w:rPr>
        <w:t>E. 3.2</w:t>
      </w:r>
    </w:p>
    <w:p>
      <w:r>
        <w:t>L’ottenimento della libertà provvisoria nel febbraio 1993 ha messo fine alla carcerazione dell’attore, alleviandone in parte la sofferenza. Nondimeno a quel momento i danni da lui qui fatti valere non si erano ancora prodotti nella loro totalità, si pensi alle spese per il patrocinio penale ed alla perdita salariale dovuta alla difficoltà nel trovare una nuova occupazione: quest’ultimo pregiudizio economico, acuito dall’esistenza di un procedimento penale a suo carico per gravi reati patrimoniali, ha certamente iniziato a prodursi a quel momento, ma a quell’epoca era ben lungi dall’essere quantificabile, il danno a suo carico -che non da ultimo dipendeva dal fatto che egli trovasse una nuova  e stabile occupazione- non essendosi ancora stabilizzato, fermo restando che lo stesso in ogni caso era influenzato dalla durata e dall’esito (a lui favorevole) della procedura penale. Di qui l’irrilevanza di quel momento per la prescrizione.</w:t>
      </w:r>
    </w:p>
    <w:p>
      <w:r>
        <w:rPr>
          <w:b/>
        </w:rPr>
        <w:t>E. 3.3</w:t>
      </w:r>
    </w:p>
    <w:p>
      <w:r>
        <w:t>L’inoltro di una denuncia penale nei confronti di __________ per estorsione e coazione -segnatamente per il fatto che quest’ultimo avrebbe indotto l’attore a sottoscrivere cambiali per fr. 10 mio rispettivamente a firmare una lettera in cui si assumeva la responsabilità della situazione venutasi a creare in __________ - è parimenti irrilevante nell’ottica della prescrizione: oggetto della presente causa non è infatti la responsabilità per quelle presunte pressioni, bensì quella per aver inoltrato la denuncia penale 2 dicembre 1992 con le conseguenze che ne sono derivate all’attore.</w:t>
      </w:r>
    </w:p>
    <w:p>
      <w:r>
        <w:rPr>
          <w:b/>
        </w:rPr>
        <w:t>E. 4</w:t>
      </w:r>
    </w:p>
    <w:p>
      <w:r>
        <w:t>In realtà la conoscenza del danno da parte dell’attore è avvenuta in epoca ben successiva, al più presto nel giugno - luglio 1994.</w:t>
      </w:r>
    </w:p>
    <w:p>
      <w:r>
        <w:rPr>
          <w:b/>
        </w:rPr>
        <w:t>E. 4.1</w:t>
      </w:r>
    </w:p>
    <w:p>
      <w:r>
        <w:t>Le spese per il patrocinio in sede penale sono state fatturate all’attore il 3 dicembre 1994 (doc. CCC) rispettivamente il 7 giugno 1996 (doc. DDD). Pur essendo vero che l’inoltro di una denuncia penale possa implicare la necessità di patrocinio da parte di un avvocato e con ciò una spesa per onorari, è nondimeno evidente che nel dicembre 1992 la quantificazione effettiva di questi ultimi da parte dell’attore non era affatto possibile, nemmeno a grandi linee, il tutto dipendendo evidentemente dalle particolarità del caso, da come procedeva l’inchiesta penale e non da ultimo dalla necessità o meno di indire il pubblico dibattimento: è in definitiva al più presto solo al momento dell’emanazione del decreto di abbandono del 6 luglio 1994 (doc. 1 __________) che tali spese, a quel momento in evoluzione, sono divenute oggettivamente quantificabili ( IICCA 24 febbraio 1999 in re R./D.G. e G.). Atteso che il legale dell’attore, successivamente all’emanazione di quel decreto, si è pure occupato delle pratiche -chiaramente connesse con la causa penale- per la restituzione all’attore della cauzione giudiziaria versata in occasione della concessione della libertà provvisoria rispettivamente di quelle per il riottenimento della patente di fiduciario, cautelativamente sospesa durante l’inchiesta penale (teste __________ p. 2), è evidente che anche l’onorario per tale suo impegno rientri nel danno a carico dell’attore, cosicché il termine annuale di prescrizione inizia a decorrere solo con la conclusione di queste prestazioni. Essendo -come già accennato (cfr. cons. 1)- determinante per la prescrizione della pretesa attorea la data della conoscenza dell’ultima pretesa ed essendo in concreto accertato che la petizione è stata introdotta entro un anno dalla conoscenza delle spese di patrocinio penale, ne discende, senza che sia necessario analizzare le altre posizioni di danno, che la petizione è senz’altro tempestiva. È perciò a titolo abbondanziale che qui di seguito si esaminerà se, indipendentemente da quanto vale per le spese di patrocinio penale, le altre pretese fatte valere siano o meno prescritte.</w:t>
      </w:r>
    </w:p>
    <w:p>
      <w:r>
        <w:rPr>
          <w:b/>
        </w:rPr>
        <w:t>E. 4.2</w:t>
      </w:r>
    </w:p>
    <w:p>
      <w:r>
        <w:t>Con il decreto di abbandono il pregiudizio economico patito dall’attore per le difficoltà nel trovare lavoro è divenuto finalmente quantificabile nella sua estensione temporale: è in effetti da quel momento che le conseguenze della denuncia hanno preso fine, per cui l’inizio del termine di prescrizione per i pregiudizi salariali decorre da quel momento. Abbondanzialmente, atteso che la sua licenza di fiduciario, sospesa nel corso della procedura penale a suo carico (art. 18 cpv. 5 legge sull’esercizio delle professioni di fiduciario), gli è stata ripristinata solo nel dicembre 1995 (doc. VV), sarebbe addirittura da quest’ultima data che dovrebbe iniziare a decorrere il termine di prescrizione per le presunte difficoltà economiche nel trovare una nuova occupazione: è in effetti ovvio che la sospensione della patente, dovuta alla denuncia, ha gravemente danneggiato l’attore nella ricerca di un lavoro.</w:t>
      </w:r>
    </w:p>
    <w:p>
      <w:r>
        <w:rPr>
          <w:b/>
        </w:rPr>
        <w:t>E. 4.3</w:t>
      </w:r>
    </w:p>
    <w:p>
      <w:r>
        <w:t>L’attore fa infine valere una pretesa per torto morale, asserendo di essere stato vittima di complotto da parte dei convenuti. L’esistenza del presunto complotto -e non solo dell’infondatezza della denuncia, circostanza quest’ultima che egli avrebbe potuto soggettivamente conoscere già in epoca precedente- è stata da lui scoperta al più presto il 22 giugno 1994, data del deposito degli atti penali (doc. P): i testi __________ e __________, patrocinatori dell’attore in sede penale, hanno infatti riferito -pur non escludendo, ciò che tuttavia non basta per ammettere una conoscenza anticipata da parte loro, che l’esito dell’inchiesta possa esser stato loro anticipato, tanto più che tale eventuale conoscenza anticipata in ogni caso non ha potuto essere fissata nel tempo con precisione (il teste __________ ipotizza una sua conoscenza di qualche dettaglio al massimo un mese prima del deposito atti)- che solo da quel momento essi hanno potuto avere una visione completa della situazione, scoprendo l’esistenza del complotto, prima solo sospettato. Ciò premesso, nemmeno tale pretesa sarebbe prescritta. conoscenza della persona responsabile</w:t>
      </w:r>
    </w:p>
    <w:p>
      <w:r>
        <w:rPr>
          <w:b/>
        </w:rPr>
        <w:t>E. 5</w:t>
      </w:r>
    </w:p>
    <w:p>
      <w:r>
        <w:t>Il momento della conoscenza della persona responsabile non è obbligatoriamente uguale per tutti i presunti responsabili ( Brehm , op. cit., N. 63 ad art. 60 CO).</w:t>
      </w:r>
    </w:p>
    <w:p>
      <w:r>
        <w:rPr>
          <w:b/>
        </w:rPr>
        <w:t>E. 5.1</w:t>
      </w:r>
    </w:p>
    <w:p>
      <w:r>
        <w:t>Non è contestato che l’attore già al momento del suo arresto sia stato informato del fatto che la denuncia emanava da __________ (cfr. verbale di notifica arresto 11.12.1992, doc. 12 __________), con il che è pacifico che la conoscenza di quest’ultima quale responsabile del presunto danno da lui subito sia intervenuta già nel dicembre 1992.</w:t>
      </w:r>
    </w:p>
    <w:p>
      <w:r>
        <w:rPr>
          <w:b/>
        </w:rPr>
        <w:t>E. 5.2</w:t>
      </w:r>
    </w:p>
    <w:p>
      <w:r>
        <w:t>Come già accennato, la responsabilità di __________ nei fatti qui in esame non ha nulla a che vedere con la denuncia contro di lui inoltrata dall’attore nel marzo 1993, mentre nel fatto che nell’istanza di libertà provvisoria del 19 dicembre 1992 l’attore abbia erroneamente indicato proprio in quest’ultimo, anziché in __________, il presunto denunciante (cfr. incarto penale), non si può evidentemente intravedere una conoscenza della persona responsabile del danno per quella denuncia. In realtà __________ e con lui il presidente del consiglio di amministrazione di __________ sono stati chiamati in causa per il ruolo da loro assunto nella presunta congiura, ovvero in quanto firmatari della procura al legale che ha allestito la denuncia penale a nome di __________ (cfr. incarto penale), __________ inoltre per aver consegnato personalmente al procuratore pubblico la denuncia stessa e per aver confermato in sede di interrogatorio davanti agli inquirenti le accuse contro l’attore (doc. M), circostanze queste di cui l’attore può essere venuto a conoscenza -prima poteva tutt’al più nutrire solo dei più o meno fondati sospetti- al più presto solo al momento del deposito atti del 22 giugno 1994: non si vede infatti come mai, se non proprio per questi motivi, l’attore abbia ritenuto di convenire in causa questi due soli membri del consiglio di amministrazione e non anche gli altri membri di quel consesso, l’avv. __________ nonché i signori __________ e __________ (cfr. doc. C). Se ne deve gioco forza concludere che per quanto riguarda i convenuti __________ e __________ la conoscenza della persona responsabile da parte dell’attore è pertanto avvenuta al più presto nel giugno 1994, con il che anche per questo motivo la petizione nei loro confronti non è prescritta.</w:t>
      </w:r>
    </w:p>
    <w:p>
      <w:r>
        <w:rPr>
          <w:b/>
        </w:rPr>
        <w:t>E. 6</w:t>
      </w:r>
    </w:p>
    <w:p>
      <w:r>
        <w:t>Ne discende, in accoglimento del gravame, la reiezione dell’eccezione di prescrizione. Tassa di giustizia, spese e ripetibili di entrambe le sedi, da commisurare tenendo conto del fatto che il presente giudizio non pone più fine alla lite, seguono la soccombenza (art. 148 CPC). Per i quali motivi, richiamati gli art. 148 CPC e la TG dichiara e pronuncia I. L’appello 4 dicembre 1998 __________ è accolto . § Di conseguenza la sentenza 13 novembre 1998 della Pretura del distretto di Lugano, Sezione 4, è riformata nel modo seguente: 1. La petizione 14 aprile 1995 di __________ contro __________ è respinta per incompetenza territoriale. 2. L’eccezione di prescrizione sollevata da __________ in liquidazione, __________ e __________ è respinta. 3. La tassa di giustizia di fr. 4’500.-- e le spese di fr. 100.--, da anticipare dall’attore, sono poste a carico di quest’ultimo, di __________ in liquidazione, di __________ e di __________ (questi tre in solido) in ragione di 1/4 ciascuno; __________ in liquidazione, __________ e __________ rifonderanno in solido all’attore complessivi fr. 8’000.-- per ripetibili, mentre quest’ultimo per lo stesso titolo rifonderà fr. 12’000.-- a __________ II. Le spese della procedura d’appello consistenti in: a) tassa di giustizia                                      fr.      2’450.-- b) spese                                                        fr. 50.-- T o t a l e                                                        fr. 2’500.-- già anticipati dall’appellante, sono a carico dei __________ in liquidazione, __________ e __________ in solido, i quali rifonderanno all’appellante pure solidalmente complessivi fr. 4’000.-- per ripetibili di appello. III. Intimazione:       -      __________ Comunicazione alla Pretura del distretto di Lugano, Sezione 4 e all’avv.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