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12.1998.273 vom 18. März 1999</w:t>
      </w:r>
    </w:p>
    <w:p>
      <w:r>
        <w:t>TI Tribunale d'appello, 1999-03-18, IT</w:t>
      </w:r>
    </w:p>
    <w:p>
      <w:r>
        <w:rPr>
          <w:b/>
        </w:rPr>
        <w:t xml:space="preserve">Quelle: </w:t>
      </w:r>
      <w:r>
        <w:t>https://mcp.opencaselaw.ch/entscheid/ti_gerichte_12.1998.273</w:t>
      </w:r>
    </w:p>
    <w:p>
      <w:r>
        <w:t>FR: TI_GERICHTE 12.1998.273 du 18 mars 1999</w:t>
      </w:r>
    </w:p>
    <w:p>
      <w:r>
        <w:t>IT: TI_GERICHTE 12.1998.273 del 18 marzo 1999</w:t>
      </w:r>
    </w:p>
    <w:p>
      <w:pPr>
        <w:pStyle w:val="Heading2"/>
      </w:pPr>
      <w:r>
        <w:t>Regeste</w:t>
      </w:r>
    </w:p>
    <w:p>
      <w:r>
        <w:t>Sentenza o decisione senza scheda</w:t>
      </w:r>
    </w:p>
    <w:p>
      <w:pPr>
        <w:pStyle w:val="Heading2"/>
      </w:pPr>
      <w:r>
        <w:t>Erwägungen</w:t>
      </w:r>
    </w:p>
    <w:p>
      <w:r>
        <w:rPr>
          <w:b/>
        </w:rPr>
        <w:t>E. 1</w:t>
      </w:r>
    </w:p>
    <w:p>
      <w:r>
        <w:t>Il rapporto di lavoro di durata indeterminata può essere disdetto da ciascuna delle parti (art. 335 cpv. 1 CO) nei termini previsti dal contratto e dalla legge (art. 335a - 335c CO). La validità della disdetta non è vincolata a nessuna forma, tuttavia, la parte che dà la disdetta, a richiesta dell’altra, è tenuta a motivarla per scritto (art. 335 cpv. 2 CO). Ciò costituisce il principio della libertà di disdetta, limitata esclusivamente dalle norme sulla disdetta abusiva (art. 336 CO) e sulla disdetta in tempo inopportuno (art. 336c CO). All’infuori dei motivi di merito previsti dall’art. 336 CO, la disdetta può perciò essere data per qualsiasi causa, rispettivamente senza causa ( Rehbinder , Berner Kommentar, n. 13 ad art. 335 CO), e l’obbligo di motivare per scritto la disdetta esiste soltanto a richiesta della parte cui l’atto è diretto, senza essere un presupposto della sua validità; in altre parole, la disdetta esplica i suoi effetti anche di fronte all’assenza di motivazione, rispettivamente in presenza di motivazione mendace o incompleta. Scopo della motivazione è infatti soltanto quello di offrire alla parte che ne è colpita l’eventuale possibilità di individuare la presenza di abusi contemplati dall’art. 336 CO ( Rehbinder , opera citata, n. 9 ad art. 335 CO). Ne discende che la motivazione della disdetta assume rilevanza giuridica esclusivamente a dipendenza del concretizzarsi di una fattispecie che ne permetta la qualifica di abusiva ( II CCA</w:t>
      </w:r>
    </w:p>
    <w:p>
      <w:r>
        <w:rPr>
          <w:b/>
        </w:rPr>
        <w:t>E. 4</w:t>
      </w:r>
    </w:p>
    <w:p>
      <w:r>
        <w:t>Dovendosi ammettere il carattere abusivo della disdetta, occorre determinarsi, in base a tutte le circostanze del caso, sull’ammontare dell’indennità spettante all’istante, che richiede l’equivalente di due mensilità di salario lordo. La richiesta non appare in assoluto spropositata, ma la giurisprudenza di questa Camera ha già avuto modo di considerare che la particolare brevità del rapporto deve essere considerata nella valutazione delle circostanze, così che, in aderenza a tale prassi, appare adeguato attribuire all’istante la somma di fr. 5’000.--, pari a poco più di una mensilità di stipendio ( II CCA 19 febbraio 1997 in re M./D. SA), senza deduzione di oneri sociali. Ne segue, ai sensi dei considerandi, il parziale accoglimento del gravame. Non si prelevano tasse o spese, la convenuta, soccombente sul principio dell’abusività della disdetta, rifonde all’istante un’adeguata indennità per il patrocinio. Per i quali motivi dichiara e pronuncia I. L’appello 1° dicembre 1998 __________ è parzialmente accolto. Di conseguenza la sentenza 23 novembre 1998 della Pretura del distretto di Bellinzona è riformata nel modo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