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12.1998.271 vom 19. April 1999</w:t>
      </w:r>
    </w:p>
    <w:p>
      <w:r>
        <w:t>TI Tribunale d'appello, 1999-04-19, IT</w:t>
      </w:r>
    </w:p>
    <w:p>
      <w:r>
        <w:rPr>
          <w:b/>
        </w:rPr>
        <w:t xml:space="preserve">Quelle: </w:t>
      </w:r>
      <w:r>
        <w:t>https://mcp.opencaselaw.ch/entscheid/ti_gerichte_12.1998.271</w:t>
      </w:r>
    </w:p>
    <w:p>
      <w:r>
        <w:t>FR: TI_GERICHTE 12.1998.271 du 19 avril 1999</w:t>
      </w:r>
    </w:p>
    <w:p>
      <w:r>
        <w:t>IT: TI_GERICHTE 12.1998.271 del 19 aprile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Quo alle eccezioni liberatorie dell’attrice, diffusamente sviluppate nel gravame, è doveroso premettere alla loro disamina che nel Codice di procedura civile ticinese, riservate successive modifiche di dettaglio (art. 75 CPC) e i casi di restituzione in intero (art. 138 CPC), l’oggetto della lite viene determinato nello stadio dello scambio degli allegati introduttivi. L’attore con petizione ed eventualmente replica, e il convenuto con risposta ed eventualmente duplica, devono pertanto sottoporre al giudice il forma compiuta le proprie tesi di fatto, le domande, le eccezioni e le contestazioni (art. 78 CPC). Dopo tale stadio di procedura non è più per principio possibile addurre fatti od eccezioni non sostenuti in precedenza, o sollevare contestazioni in precedenza non formulate (per tante: II CCA</w:t>
      </w:r>
    </w:p>
    <w:p>
      <w:r>
        <w:rPr>
          <w:b/>
        </w:rPr>
        <w:t>E. 5</w:t>
      </w:r>
    </w:p>
    <w:p>
      <w:r>
        <w:t>Rimane da esaminare la tesi dell’avvenuto pagamento del debito per effetto dei pagamenti addotti negli allegati introduttivi.</w:t>
      </w:r>
    </w:p>
    <w:p>
      <w:r>
        <w:rPr>
          <w:b/>
        </w:rPr>
        <w:t>E. 5.1</w:t>
      </w:r>
    </w:p>
    <w:p>
      <w:r>
        <w:t>Il versamento di lire 393’787’000, pari all’importo degli assegni menzionati nel doc. C, è manifestamente già stato computato ai fini della determinazione del debito in fr. 520’000.-- al momento della firma della convenzione (esplicito: doc. B, punto 1), e il fatto che la convenzione stessa ritenga ancora l’attrice debitrice del convenuto (ancorché a condizione dell’inadempienza del marito nel pagamento degli interessi) dimostra che tale pagamento non è stato imputato al debito dell’attrice.</w:t>
      </w:r>
    </w:p>
    <w:p>
      <w:r>
        <w:rPr>
          <w:b/>
        </w:rPr>
        <w:t>E. 5.2</w:t>
      </w:r>
    </w:p>
    <w:p>
      <w:r>
        <w:t>Per i pagamenti di fr. 52’000.-- e fr. 25’100.--, effettuati dal __________ e non dall’attrice, in assenza di una valida imputazione del debitore all’atto del pagamento, va applicato, almeno per analogia, l’art. 85 cpv. 2 CO, secondo cui non si può ammettere che i pagamenti parziali -nell’ipotesi che potessero essere computati sul capitale e non su eventuali interessi arretrati (art. 85 cpv. 1 CO)- siano stati effettuati a rimborso della parte meglio garantita del debito, ossia quella per cui l’attrice era debitrice solidale, mentre non torna applicabile l’art. 86 CO, dovendosi ammettere l’esistenza di un unico debito del __________ nei confronti del convenuto dipendente dall’unica causale del mutuo, e non di più debiti tra loro indipendenti, come appunto richiesto dall’art. 86 CO ( Honsell/Vogt/Wiegand , opera citata, n. 3 ad art. 86 CO). Ne consegue la reiezione del gravame, infondato in ogni suo punto e privo di possibilità di esito favorevole, il che determina anche la reiezione dell’istanza di assistenza giudiziaria (art. 157 CPC). Tassa di giustizia, spese e ripetibili seguono la soccombenza (art. 148 CPC). Per i quali motivi, richiamati l’art.148 CPC e la TG dichiara e pronuncia I. L’appello 30 novembre 1998 __________ è respinto. II. L’istanza di assistenza giudiziaria 30 novembre 1998 __________ è respinta. III. Le spese della procedura d’appello, consistenti in: a) tassa di giustizia                                               fr.     750.-- b) spese                                                                 fr. 50.-- T o t a l e                                                                 fr. 800.-- sono a carico dell’appellante, che rifonderà al convenuto fr. 3’000.-- per ripetibili di appello. IV. Intimazione:       -    __________ Comunicazione alla Pretura del distretto di Lugano, sezione 2.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