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12.1998.263 vom 30. September 1999</w:t>
      </w:r>
    </w:p>
    <w:p>
      <w:r>
        <w:t>TI Tribunale d'appello, 1999-09-30, IT</w:t>
      </w:r>
    </w:p>
    <w:p>
      <w:r>
        <w:rPr>
          <w:b/>
        </w:rPr>
        <w:t xml:space="preserve">Quelle: </w:t>
      </w:r>
      <w:r>
        <w:t>https://mcp.opencaselaw.ch/entscheid/ti_gerichte_12.1998.263</w:t>
      </w:r>
    </w:p>
    <w:p>
      <w:r>
        <w:t>FR: TI_GERICHTE 12.1998.263 du 30 septembre 1999</w:t>
      </w:r>
    </w:p>
    <w:p>
      <w:r>
        <w:t>IT: TI_GERICHTE 12.1998.263 del 30 settembre 1999</w:t>
      </w:r>
    </w:p>
    <w:p>
      <w:pPr>
        <w:pStyle w:val="Heading2"/>
      </w:pPr>
      <w:r>
        <w:t>Volltext</w:t>
      </w:r>
    </w:p>
    <w:p>
      <w:r>
        <w:t>Incarto n.12.98.00263</w:t>
      </w:r>
    </w:p>
    <w:p>
      <w:r>
        <w:t>Lugano</w:t>
      </w:r>
    </w:p>
    <w:p>
      <w:r>
        <w:t>30 settembre 1999</w:t>
      </w:r>
    </w:p>
    <w:p>
      <w:r>
        <w:t>In nomedella Repubblica e Cantonedel Ticino</w:t>
      </w:r>
    </w:p>
    <w:p>
      <w:r>
        <w:t>La seconda Camera civile del Tribunale d'appello</w:t>
      </w:r>
    </w:p>
    <w:p>
      <w:r>
        <w:t>composta dei giudici:</w:t>
      </w:r>
    </w:p>
    <w:p>
      <w:r>
        <w:t>Cocchi, presidenteChiesa e Zali</w:t>
      </w:r>
    </w:p>
    <w:p>
      <w:r>
        <w:t>segretario:</w:t>
      </w:r>
    </w:p>
    <w:p>
      <w:r>
        <w:t>Petrini</w:t>
      </w:r>
    </w:p>
    <w:p>
      <w:r>
        <w:t>sedente per statuire nella causainc. no. EF.98.00344della Pretura del Distretto di Lugano, sezione 5 promossa con petizione 30 gennaio 1998 da</w:t>
      </w:r>
    </w:p>
    <w:p>
      <w:r>
        <w:t>__________</w:t>
      </w:r>
    </w:p>
    <w:p>
      <w:r>
        <w:t>rappr. dallo Studio legale __________</w:t>
      </w:r>
    </w:p>
    <w:p>
      <w:r>
        <w:t>contro</w:t>
      </w:r>
    </w:p>
    <w:p>
      <w:r>
        <w:t>__________</w:t>
      </w:r>
    </w:p>
    <w:p>
      <w:r>
        <w:t>rappr. dalla __________</w:t>
      </w:r>
    </w:p>
    <w:p>
      <w:r>
        <w:t>intesa a contestare la graduatoria nellambito del fallimento della __________ e in particolare lelenco oneri speciale del 12 gennaio 1998 relativo alla part. __________ RFD di __________ di proprietà della fallita e che il Pretore, con sentenza 12 novembre 1998, ha parzialmente accolto.</w:t>
      </w:r>
    </w:p>
    <w:p>
      <w:r>
        <w:t>Appellante la parte attrice la quale, con appello 24 novembre 1998, ha chiesto la riforma del primo giudizio nel senso che tutti i crediti per imposta cantonale contenuti nellelenco oneri speciale relativo alla part. __________ RFD di __________ vengano disconosciuti e stralciati dal medesimo.</w:t>
      </w:r>
    </w:p>
    <w:p>
      <w:r>
        <w:t>Rimasta sospesa la procedura (cfr. decreto 26 novembre 1998) in attesa dellesito di vertenze simili, coinvolgenti la stessa parte attrice nellambito di altre graduatorie fallimentari, pendenti avanti al Tribunale Federale.</w:t>
      </w:r>
    </w:p>
    <w:p>
      <w:r>
        <w:t>Ritenuto che, con lettera 29 settembre 1999, la parte attrice, preso atto della reiezione dei suoi ricorsi al Tribunale federale riguardanti altre simili procedure, ha dichiarato di non voler mantenere limpugnativa in oggetto.</w:t>
      </w:r>
    </w:p>
    <w:p>
      <w:r>
        <w:t>Dovendosi così stralciare la causa dai ruoli per desistenza senza dover assegnare ripetibili alla controparte alla quale non è nemmeno stato assegnato il termine per presentare le proprie osservazioni allappello.</w:t>
      </w:r>
    </w:p>
    <w:p>
      <w:r>
        <w:t>Per la seconda Camera civile del Tribunale dappello</w:t>
      </w:r>
    </w:p>
    <w:p>
      <w:r>
        <w:t>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