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12.1998.223 vom 2. April 1999</w:t>
      </w:r>
    </w:p>
    <w:p>
      <w:r>
        <w:t>TI Tribunale d'appello, 1999-04-02, IT</w:t>
      </w:r>
    </w:p>
    <w:p>
      <w:r>
        <w:rPr>
          <w:b/>
        </w:rPr>
        <w:t xml:space="preserve">Quelle: </w:t>
      </w:r>
      <w:r>
        <w:t>https://mcp.opencaselaw.ch/entscheid/ti_gerichte_12.1998.223</w:t>
      </w:r>
    </w:p>
    <w:p>
      <w:r>
        <w:t>FR: TI_GERICHTE 12.1998.223 du 2 avril 1999</w:t>
      </w:r>
    </w:p>
    <w:p>
      <w:r>
        <w:t>IT: TI_GERICHTE 12.1998.223 del 2 aprile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L’appellante afferma innanzitutto che una corretta interpretazione degli atti di causa avrebbe senz’altro permesso di accertare -contrariamente a quanto ritenuto dal giudice di prime cure- che la lettera di cui al doc. E in realtà non costituiva un’offerta di dimissioni da parte sua.</w:t>
      </w:r>
    </w:p>
    <w:p>
      <w:r>
        <w:rPr>
          <w:b/>
        </w:rPr>
        <w:t>E. 1.1</w:t>
      </w:r>
    </w:p>
    <w:p>
      <w:r>
        <w:t>Per l’art. 1 CO un contratto non è perfetto se non quando i contraenti abbiano concordemente manifestato, in modo espresso oppure tacito, la loro reciproca volontà; mentre, secondo l’art. 18 cpv. 1 CO, un contratto va interpretato, sia per la forma che per il contenuto, indagando sulla vera e concorde volontà dei contraenti. Quando la concordanza delle volontà delle parti non è evidente, le disposizioni contrattuali sono da interpretare in base al principio dell’affidamento, per il quale è determinante il senso che, secondo le regole della buona fede, ogni contraente poteva e doveva ragionevolmente dare alle dichiarazioni di volontà dell’altro ( DTF 119 II 451, 118 II 132). Ne consegue, in particolare, che se il destinatario di una dichiarazione scritta la interpreta erroneamente perché non la esamina nel dovuto modo o omette di considerare particolari che non avrebbero dovuto sfuggirgli, egli non può avvalersi di tale negligenza e la dichiarazione vale per come avrebbe dovuto essere ragionevolmente intesa ( DTF 111 II 457; Von Tuhr/Peter , Allgemeiner Teil des Schweizerischen Obligationenrechts, 3. ed., Zurigo 1974, vol. 1, p. 290). Se, applicando questo principio, il giudice può dare un senso chiaro e conferire un effetto giuridico alle dichiarazioni di volontà, un’interpretazione più approfondita è superflua ( DTF 119 II 372, 111 II 287; IICCA</w:t>
      </w:r>
    </w:p>
    <w:p>
      <w:r>
        <w:rPr>
          <w:b/>
        </w:rPr>
        <w:t>E. 1.2</w:t>
      </w:r>
    </w:p>
    <w:p>
      <w:r>
        <w:t>In realtà il tenore letterale della lettera doc. E (tradotta al doc. 5) è estremamente chiaro e non può lasciare adito ad incertezze. Con lo scritto in questione, indirizzato a __________, presidente del Consiglio direttivo del __________ che fiancheggia l’attività della convenuta negli __________ - l’attore ha innanzitutto ricordato di aver già in precedenza (l’8 aprile, cfr. doc. C) consegnato una lettera al presidente degli affari accademici __________, nella quale egli annunciava la sua decisione di rimanere al __________ al massimo per un anno ancora, fino a giugno 1992, a meno che la situazione non si fosse deteriorata; egli si diffonde in seguito sui motivi che hanno recentemente reso “intollerabile” la convivenza con il presidente __________ e comunica infine di essere “giunto alla conclusione che preferisco di non continuare come vice presidente per affari accademici e decano per l’anno 1991-1992” rispettivamente che “non posso continuare in una posizione di responsabilità nelle circostanze attuali e non posso neanche credere che Lei voglia che io continui in tali circostanze”: per tutti questi motivi, egli si vede costretto “a ritornare il mio contratto non firmato e a pregare il Consiglio di essere rilasciato in una data conveniente per ambedue le parti”, ribadendo ancora più in avanti di non poter riconsiderare “la mia decisione di partire” e di non poter né voler esprimere sulla carta i seri motivi etici che lo “inducono a richiedere il rilascio anticipato”. Non vi è dubbio sul fatto che le dimissioni, così offerte, avrebbero dovuto diventare effettive al più presto -egli stesso ritiene opportuno per tutti che “sig. __________ ed io ci dividiamo presto”- e meglio prima dell’inizio dell’anno accademico 1991-1992: l’attore ha in effetti specificato di non voler “continuare come vice presidente per affari accademici e decano per l’anno 1991-1992”,  né di non voler “soffrire un altro anno di memo-boxing con __________”, ed ha significativamente concluso la missiva dicendo di “essere grato se Lei potesse informarmi sulla sua decisione per quello che concerne la terminazione del contratto al più presto possibile”.</w:t>
      </w:r>
    </w:p>
    <w:p>
      <w:r>
        <w:rPr>
          <w:b/>
        </w:rPr>
        <w:t>E. 1.3</w:t>
      </w:r>
    </w:p>
    <w:p>
      <w:r>
        <w:t>Nemmeno le testimonianze agli atti -per altro superflue, visto il chiarissimo tenore della lettera di cui al doc. E- permettono di darne una diversa interpretazione. Il teste __________, come correttamente evidenziato dal Pretore, ha tentato di distogliere l’attore dallo spedire quella lettera, facendogli intendere senza mezzi termini che la stessa sarebbe stata considerata quale “autolicenziamento”; il teste __________ a sua volta, ha confermato come lo scritto fosse stato inteso dai membri del Consiglio quale lettera di dimissioni. Neppure la testimonianza __________ evocata dall’appellante, gli è in definitiva favorevole: il teste, pur ritenendo a titolo personale che lo scritto in questione aveva lo scopo di spingere il Consiglio a prendere una decisione in merito al presidente __________ che non si trattava perciò di una lettera di dimissioni, ha tuttavia dovuto ammettere che “ne aveva la forma” e che “una minaccia delle dimissioni ... pure c’era nella lettera”. Per stabilire il significato della lettera, non è per conto necessario né utile conoscere quali fossero a quel momento le reali intenzioni dell’attore, ovvero se egli fosse effettivamente intenzionato a rimanere nel College ancora per un anno: nella misura in cui tale intenzione non risulta da quello scritto, la circostanza è infatti ampiamente irrilevante. 2. Dovendosi con ciò ravvisare nello scritto di cui al doc. E un’offerta di dimissioni ed essendo pacificamente assodato che l’offerta è stata accettata sia dal Consiglio americano (doc. I), sia dal Consiglio svizzero della convenuta (doc. O), è chiaro che in applicazione dell’art. 115 CO il contratto tra le parti è stato sciolto consensualmente, quest’ultima norma di legge non esigendo che l’accordo di scioglimento sia sottoposto ad una forma particolare, anche se quest’ultima -come nella fattispecie- era stata concordata nel contratto (doc. A). 3. In assenza di una qualsiasi disdetta del contratto, non torna infine conto chinarsi sulla questione, sollevata dall’appellante, a sapere se la stessa fosse chiara, univoca e inequivocabile. Parimenti ininfluente per l’esito della causa è poi il quesito, lasciato per altro indeciso dal primo giudice, se le circostanze del caso non avrebbero eventualmente consentito alla convenuta di significare un licenziamento immediato per motivi gravi.</w:t>
      </w:r>
    </w:p>
    <w:p>
      <w:r>
        <w:rPr>
          <w:b/>
        </w:rPr>
        <w:t>E. 4</w:t>
      </w:r>
    </w:p>
    <w:p>
      <w:r>
        <w:t>Ne discende la reiezione del gravame, manifestamente infondato ed al limite del temerario. La tassa di giustizia, le spese e le ripetibili seguono la soccombenza (art. 148 CPC). Per i quali motivi, richiamati gli art. 148 CPC e la TG dichiara e pronuncia I. L’appello 15 ottobre 1998 di __________ è respinto. II. Le spese della procedura d’appello consistenti in: a) tassa di giustizia                                    fr. 3’450.- b) spese                                                      fr. 50.- Totale                                                           fr. 3’500.- da anticiparsi dall’appellante, restano a suo carico con l’obbligo di rifondere alla parte appellata fr. 7’000.- per ripetibili. III. Intimazione a: - __________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