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12.1998.209 vom 9. Februar 1999</w:t>
      </w:r>
    </w:p>
    <w:p>
      <w:r>
        <w:t>TI Tribunale d'appello, 1999-02-09, IT</w:t>
      </w:r>
    </w:p>
    <w:p>
      <w:r>
        <w:rPr>
          <w:b/>
        </w:rPr>
        <w:t xml:space="preserve">Quelle: </w:t>
      </w:r>
      <w:r>
        <w:t>https://mcp.opencaselaw.ch/entscheid/ti_gerichte_12.1998.209</w:t>
      </w:r>
    </w:p>
    <w:p>
      <w:r>
        <w:t>FR: TI_GERICHTE 12.1998.209 du 9 février 1999</w:t>
      </w:r>
    </w:p>
    <w:p>
      <w:r>
        <w:t>IT: TI_GERICHTE 12.1998.209 del 9 febbraio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L’art. 271a cpv. 1 lit. b CO stabilisce che può essere contestata la disdetta del contratto di locazione che il locatore pronuncia allo scopo di imporre una modificazione unilaterale del contratto sfavorevole al conduttore o un adeguamento della pigione.</w:t>
      </w:r>
    </w:p>
    <w:p>
      <w:r>
        <w:rPr>
          <w:b/>
        </w:rPr>
        <w:t>E. 1.1</w:t>
      </w:r>
    </w:p>
    <w:p>
      <w:r>
        <w:t>Questa fattispecie, come altre dello stesso articolo, vuole punire il locatore a dipendenza del motivo della disdetta come elemento soggettivo ( Comm. SVIT ,</w:t>
      </w:r>
    </w:p>
    <w:p>
      <w:r>
        <w:rPr>
          <w:b/>
        </w:rPr>
        <w:t>E. 1.2</w:t>
      </w:r>
    </w:p>
    <w:p>
      <w:r>
        <w:t>E' alla parte che si prevale di tale normativa (e pertanto nel caso che ci occupa ai qui istanti e appellanti) che incombe l’onere della prova per quanto riguarda le circostanze che stanno alla base di una disdetta abusiva, compresa l’esistenza di un nesso causale tra la disdetta stessa e la presunta modifica unilaterale del contratto (art. 8 CC, Barbey , opera citata, pag. 143, N. 99; Comm. SVIT , ad art. 271a CO, N. 22). Per principio, la prova circa l'esistenza del nesso causale verrà portata mediante indizi, non potendosi ragionevolmente pretendere una prova più rigorosa ( Barbey , opera citata, pag. 142, N. 97); il fatto che la pretesa formulata dalla parte sia o meno giustificata nel merito non risulta in quest’ottica determinante ( Barbey , opera citata, pag. 142, N. 95; Zihlmann , Das neue Mietrecht, Zurigo 1990, pag. 193), come del resto non lo è la questione a sapere se l’intenzione di modificare unilateralmente il contratto si appalesi prima durante o soltanto dopo la notifica della disdetta ( DTF 115 II 83; II CCA 29 agosto 1995 in re C. SA/C., 1° febbraio 1994 in re M./P; Comm. SVIT , ad art. 271a CO, N. 20; Barbey , opera citata, pag. 141, N. 95; Lachat/Micheli , opera citata, pag. 326).</w:t>
      </w:r>
    </w:p>
    <w:p>
      <w:r>
        <w:rPr>
          <w:b/>
        </w:rPr>
        <w:t>E. 1.3</w:t>
      </w:r>
    </w:p>
    <w:p>
      <w:r>
        <w:t>Va tuttavia effettuata una chiara distinzione tra il caso -abusivo- in cui il locatore disdice il contratto per imporre unilateralmente a quel conduttore una pretesa e quello -lecito ed ammissibile- in cui la disdetta è fondata sulla volontà del locatore di ottenere da un nuovo conduttore un canone di locazione più elevato (ma non abusivo) di quello sino ad ora pagato ( DTF 120 II 105, 115 II 110; II CCA 29 agosto 1995 citata; Comm. SVIT , ad art. 271a CO, N. 17).</w:t>
      </w:r>
    </w:p>
    <w:p>
      <w:r>
        <w:rPr>
          <w:b/>
        </w:rPr>
        <w:t>E. 2</w:t>
      </w:r>
    </w:p>
    <w:p>
      <w:r>
        <w:t>La tassa di giustizia di fr. 2’000.-- e le spese di fr. 100.--, da  anticipare dagli istanti, sono a carico dei convenuti in solido che, sempre in solido, rifonderanno agli istanti complessivi fr. 2’000.-- per ripetibili. II. Le spese della procedura d’appello consistenti in: a) tassa di giustizia                                 fr.       950.-- b) spese                                                   fr.         50.-- T o t a l e                                                    fr.    1’000.-- già anticipati dagli appellanti, sono a carico dei convenuti in solido che, sempre in solido, rifonderanno agli istanti complessivi fr. 1’200.-- per ripetibili di appello. III. Intimazione:                   - __________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