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12.1998.151 vom 17. Juli 1998</w:t>
      </w:r>
    </w:p>
    <w:p>
      <w:r>
        <w:t>TI Tribunale d'appello, 1998-07-17, IT</w:t>
      </w:r>
    </w:p>
    <w:p>
      <w:r>
        <w:rPr>
          <w:b/>
        </w:rPr>
        <w:t xml:space="preserve">Quelle: </w:t>
      </w:r>
      <w:r>
        <w:t>https://mcp.opencaselaw.ch/entscheid/ti_gerichte_12.1998.151</w:t>
      </w:r>
    </w:p>
    <w:p>
      <w:r>
        <w:t>FR: TI_GERICHTE 12.1998.151 du 17 juillet 1998</w:t>
      </w:r>
    </w:p>
    <w:p>
      <w:r>
        <w:t>IT: TI_GERICHTE 12.1998.151 del 17 luglio 1998</w:t>
      </w:r>
    </w:p>
    <w:p>
      <w:pPr>
        <w:pStyle w:val="Heading2"/>
      </w:pPr>
      <w:r>
        <w:t>Volltext</w:t>
      </w:r>
    </w:p>
    <w:p>
      <w:r>
        <w:t>Incarto n.12.98.00151</w:t>
      </w:r>
    </w:p>
    <w:p>
      <w:r>
        <w:t>Lugano</w:t>
      </w:r>
    </w:p>
    <w:p>
      <w:r>
        <w:t>17 luglio 1998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presidenteChiesa e Zali</w:t>
      </w:r>
    </w:p>
    <w:p>
      <w:r>
        <w:t>segretario:</w:t>
      </w:r>
    </w:p>
    <w:p>
      <w:r>
        <w:t>Petrini</w:t>
      </w:r>
    </w:p>
    <w:p>
      <w:r>
        <w:t>sedente per statuire nella causa -inc.CL.96.116della Pretura del Distretto di Lugano, sezione 2- promossa con istanza 5 luglio 1996 da</w:t>
      </w:r>
    </w:p>
    <w:p>
      <w:r>
        <w:t>__________</w:t>
      </w:r>
    </w:p>
    <w:p>
      <w:r>
        <w:t>rappr. dall' __________</w:t>
      </w:r>
    </w:p>
    <w:p>
      <w:r>
        <w:t>contro</w:t>
      </w:r>
    </w:p>
    <w:p>
      <w:r>
        <w:t>__________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