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12.1998.147 vom 15. Januar 1999</w:t>
      </w:r>
    </w:p>
    <w:p>
      <w:r>
        <w:t>TI Tribunale d'appello, 1999-01-15, IT</w:t>
      </w:r>
    </w:p>
    <w:p>
      <w:r>
        <w:rPr>
          <w:b/>
        </w:rPr>
        <w:t xml:space="preserve">Quelle: </w:t>
      </w:r>
      <w:r>
        <w:t>https://mcp.opencaselaw.ch/entscheid/ti_gerichte_12.1998.147</w:t>
      </w:r>
    </w:p>
    <w:p>
      <w:r>
        <w:t>FR: TI_GERICHTE 12.1998.147 du 15 janvier 1999</w:t>
      </w:r>
    </w:p>
    <w:p>
      <w:r>
        <w:t>IT: TI_GERICHTE 12.1998.147 del 15 gennaio 1999</w:t>
      </w:r>
    </w:p>
    <w:p>
      <w:pPr>
        <w:pStyle w:val="Heading2"/>
      </w:pPr>
      <w:r>
        <w:t>Regeste</w:t>
      </w:r>
    </w:p>
    <w:p>
      <w:r>
        <w:t>Sentenza o decisione senza scheda</w:t>
      </w:r>
    </w:p>
    <w:p>
      <w:pPr>
        <w:pStyle w:val="Heading2"/>
      </w:pPr>
      <w:r>
        <w:t>Erwägungen</w:t>
      </w:r>
    </w:p>
    <w:p>
      <w:r>
        <w:rPr>
          <w:b/>
        </w:rPr>
        <w:t>E. 1</w:t>
      </w:r>
    </w:p>
    <w:p>
      <w:r>
        <w:t>In sede di appello non è più litigiosa la questione del risarcimento danni, dichiarata dal Pretore non fondata, in quanto non sufficientemente sostanziata da prove. Lo stesso dicasi per la questione di un eventuale annullamento dell'intero contratto di locazione, giudicata a giusto titolo inammissibile dal Giudice di prime cure, in quanto presentata per la prima volta in sede di allegato conclusionale e considerata come un mutamento dell'azione ai sensi dell'art. 74 CPC, le cui condizioni di applicazione non sono state rispettate. Inoltre, anche il postulato annullamento della sola clausola 23B) dell'accordo a seguito di impossibilità (art. 119 CO), respinto dal Pretore, non è più oggetto di contestazione. Argomento di merito della procedura d’appello è quindi solo la legittimità o meno della completazione del contratto di locazione così come operata dal Pretore.</w:t>
      </w:r>
    </w:p>
    <w:p>
      <w:r>
        <w:rPr>
          <w:b/>
        </w:rPr>
        <w:t>E. 2</w:t>
      </w:r>
    </w:p>
    <w:p>
      <w:r>
        <w:t>Come già rilevato nella sentenza querelata, il contratto oggetto della presente fattispecie è un contratto misto ( Higi , Zürcher Kommentar, ad art. 253 CO n. 30; Zihlmann , Das Mietrecht, 2. edizione, Zurigo 1995, p. 55; Tercier , Les contrats spéciaux, Zurigo 1995, no. 1482). Esso contiene tutti gli elementi del contatto di locazione - ovvero la cessione dell'uso della cosa, durante un periodo determinato, dietro controprestazione di un corrispettivo - a cui si aggiungono elementi del contratto d'architetto (pagamento di parte della pigione in natura, tramite prestazioni professionali). Più correttamente quest’ultimo elemento rappresenta una cosiddetta clausola d’architetto in virtù della quale i locatori si impegnano ad attribuire al conduttore mandati d’architetto, quindi a concludere ulteriormente un contratto o  più contratti generatori di obbligazioni, da scontare sino a Fr. 11’000.- annui con la pigione; tale clausola è, giuridicamente, una promessa di contrattare (art. 22 CO) che per essere valida, a prescindere da tutte le diatribe dottrinali al proposito dell’ammissibilità stessa della promessa di contrattare, deve riguardare un oggetto determinato o determinabile ( DTF 98 II 305; Engel , Traité des obligations en droit suisse, pag. 181).  Ora il contenuto della pattuizione in questione è quanto di più vago ed indeterminato si possa concepire dal momento che prevede prestazioni d’architetto, nell’arco di almeno otto anni, indefinite, senza alcuna indicazione che permetta di individuare, anche solo approssimativamente, il tipo e l’ubicazione dell’opera da progettare. Ne discende che questa clausola del contratto di locazione non produce nessun effetto. Già per questo motivo l’appello che, in definitiva, vuole mantenere in vigore questa pattuizione senza alcuna eccezione, deve essere respinto e la soluzione del Pretore, che, alla fin fine, giunge a risolvere in modo analogo le conseguenze di assenza di mandati professionali, avallata.</w:t>
      </w:r>
    </w:p>
    <w:p>
      <w:r>
        <w:rPr>
          <w:b/>
        </w:rPr>
        <w:t>E. 3</w:t>
      </w:r>
    </w:p>
    <w:p>
      <w:r>
        <w:t>Il mancato conferimento di incarichi professionali al conduttore può dipendere da innumerevoli fattori, se si tiene conto anche del lungo periodo di validità dell’impegno, che non solo sono riferibili a situazioni soggettive dei mandanti (mancanza di fiducia verso l’architetto) ma anche a situazioni oggettive come la difficoltà delle promozioni immobiliari per questioni congiunturali. Ne segue che quella clausola - anche se nei contratti misti alla risoluzione si applicano le norme del contratto che presenta l'aspetto preponderante, dunque, nella fattispecie, quelle del contratto di locazione ( P. Tercier , Les contrats spéciaux, Zurigo 1995, no. 1496 e 2515; D. Lachat , Le bail à loyer, Lausanne 1997, p.55 ss) - non può essere vincolante oltre la volontà della o delle parti proprio per la revocabilità, in ogni momento del mandato (art. 404 CO) le cui modalità di risoluzione si applicano al contratto d’architetto ( DTF 110 II 380).</w:t>
      </w:r>
    </w:p>
    <w:p>
      <w:r>
        <w:rPr>
          <w:b/>
        </w:rPr>
        <w:t>E. 4</w:t>
      </w:r>
    </w:p>
    <w:p>
      <w:r>
        <w:t>La reiezione dell’appello comporta l’attribuzione di spese e ripetibili all’appellante ritenuto anche che la ripartizione effettuata dal Pretore, nella sentenza di primo grado, corrisponde alle reciproche soccombenze delle parti come alle pertinenti motivazioni di cui al consid. 9 del suo giudizio.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