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12.1997.94 vom 29. April 1997</w:t>
      </w:r>
    </w:p>
    <w:p>
      <w:r>
        <w:t>TI Tribunale d'appello, 1997-04-29, IT</w:t>
      </w:r>
    </w:p>
    <w:p>
      <w:r>
        <w:rPr>
          <w:b/>
        </w:rPr>
        <w:t xml:space="preserve">Quelle: </w:t>
      </w:r>
      <w:r>
        <w:t>https://mcp.opencaselaw.ch/entscheid/ti_gerichte_12.1997.94</w:t>
      </w:r>
    </w:p>
    <w:p>
      <w:r>
        <w:t>FR: TI_GERICHTE 12.1997.94 du 29 avril 1997</w:t>
      </w:r>
    </w:p>
    <w:p>
      <w:r>
        <w:t>IT: TI_GERICHTE 12.1997.94 del 29 aprile 1997</w:t>
      </w:r>
    </w:p>
    <w:p>
      <w:pPr>
        <w:pStyle w:val="Heading2"/>
      </w:pPr>
      <w:r>
        <w:t>Regeste</w:t>
      </w:r>
    </w:p>
    <w:p>
      <w:r>
        <w:t>Sentenza o decisione senza scheda</w:t>
      </w:r>
    </w:p>
    <w:p>
      <w:pPr>
        <w:pStyle w:val="Heading2"/>
      </w:pPr>
      <w:r>
        <w:t>Erwägungen</w:t>
      </w:r>
    </w:p>
    <w:p>
      <w:r>
        <w:rPr>
          <w:b/>
        </w:rPr>
        <w:t>E. 1</w:t>
      </w:r>
    </w:p>
    <w:p>
      <w:r>
        <w:t>Va innanzitutto precisato che con ordinanza 14 aprile 1997 del presidente di questa Camera -alla quale espressamente si rinvia- sono state evase le due richieste dell’appellante, quella di congiungere la presente procedura con quella che oppone l’attrice allo Stato del Cantone Ticino per pretese analoghe (inc. no. EF.96.02371) e quella di assumere alcune prove offerte in prima sede, non assunte dal giudice di prime cure: la questione non necessita quindi di ulteriori disquisizioni.</w:t>
      </w:r>
    </w:p>
    <w:p>
      <w:r>
        <w:rPr>
          <w:b/>
        </w:rPr>
        <w:t>E. 2</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3</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3.1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3.2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w:t>
      </w:r>
    </w:p>
    <w:p>
      <w:r>
        <w:rPr>
          <w:b/>
        </w:rPr>
        <w:t>E. 5</w:t>
      </w:r>
    </w:p>
    <w:p>
      <w:r>
        <w:t>maggio 1994 in re S. in liq./Comune di B., 26 maggio 1994 in re G.K./S.C.T., 22 maggio 1995 in re G.M. SA/Comune di G. e lc., 27 settembre 1995 in re L.K./S.C.T., 29 agosto 1996 in re G.K./S.C.T., 4 novembre 1996 in re S. in liq./Comune di A.), trova consenziente anche parte della dottrina ( Fritsche/Walder , Schuldbetreibung und Konkurs nach schweizerischem Recht, Vol. 2, Zurigo 1993, § 49 N. 30; Zucker , Das Steuerpfandrecht in den Kantonen, Zurigo 1988, p. 138; critico Pedroli , L'ipoteca legale per crediti d'imposta, in RDAT 1995/I, p. 556 segg.).</w:t>
      </w:r>
    </w:p>
    <w:p>
      <w:r>
        <w:rPr>
          <w:b/>
        </w:rPr>
        <w:t>E. 8</w:t>
      </w:r>
    </w:p>
    <w:p>
      <w:r>
        <w:t>Poiché l’appellata non ha contestato le modalità di conteggio degli interessi dovuti sull’imposta, nel presente giudizio gli stessi verranno riconosciuti secondo la medesima proporzione con cui sono stati insinuati a suo tempo ( IICCA 22 maggio 1995 in re G.M. SA/Comune di G. e lc., 27 settembre 1995 in re L.K./Comune di A.). Le imposte a favore del Comune, al beneficio dell’ipoteca legale, saranno quindi per l’anno 1988 di fr. 4’309.75 (imposta immobiliare fr. 2’230.15 + imposta sull’utile fr. 1’449.- + interessi fr. 630.60), per l’anno 1989 di fr. 2’477.70 (imposta immobiliare fr. 2’230.15 + imposta sull’utile fr. 3’570.75 ./. accredito fr. 3’348.- + interessi fr. 24.80), per l’anno 1990 di fr. 6’679.75 (imposta immobiliare fr. 2’230.15 + imposta sull’utile fr. 7’733.80 ./. accredito fr. 3’348.- + interessi fr. 63.80), per l’anno 1991 di fr. 2’292.80 (imposta immobiliare fr. 2’230.15 + interessi fr. 62.65) e per l’anno 1992 di fr. 2’243.50 (imposta immobiliare fr. 2’230.15 + interessi fr. 13.35).</w:t>
      </w:r>
    </w:p>
    <w:p>
      <w:r>
        <w:rPr>
          <w:b/>
        </w:rPr>
        <w:t>E. 9</w:t>
      </w:r>
    </w:p>
    <w:p>
      <w:r>
        <w:t>Ne discende, in parziale accoglimento dell’appello, che i crediti d'imposta comunale 1988-1992 di complessivi fr. 18’003.50 vengono mantenuti nell’elenco oneri della graduatoria, mentre l’imposta 1993 e la tassa di canalizzazione e tassa d’uso relativa al 1992 vengono stralciate.</w:t>
      </w:r>
    </w:p>
    <w:p>
      <w:r>
        <w:rPr>
          <w:b/>
        </w:rPr>
        <w:t>E. 10</w:t>
      </w:r>
    </w:p>
    <w:p>
      <w:r>
        <w:t>marzo 1997 della Pretura del distretto di Lugano, Sezione 5, invariati gli altri dispositivi, è così riformata: 1. La petizione è parzialmente accolta. § L’elenco oneri speciale dell’8 luglio 1996 relativo alla part. __________ deposto come parte integrante della graduatoria del fallimento della __________ in liquidazione è modificato nel senso che i crediti d’imposta insinuati dal __________ per gli anni 1988-1992 vengono iscritti per complessivi fr. 18’003.50 nel medesimo, mentre il credito d’imposta 1993 e quello per tassa di canalizzazione e tassa d’uso 1992 vengono stralciati. II. Le spese della procedura d'appello, consistenti in a) tassa di giustizia                             fr.           480.- b) spese                                               fr. 20.- Totale                                                    fr.           500.- da anticiparsi dall'appellante, restano a suo carico nella misura di 3/5 e per 2/5 sono poste a carico della parte appellata, alla quale l’appellante rifonderà fr. 250.- a titolo di ripetibili parziali.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