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12.1997.87 vom 26. Mai 1997</w:t>
      </w:r>
    </w:p>
    <w:p>
      <w:r>
        <w:t>TI Tribunale d'appello, 1997-05-26, IT</w:t>
      </w:r>
    </w:p>
    <w:p>
      <w:r>
        <w:rPr>
          <w:b/>
        </w:rPr>
        <w:t xml:space="preserve">Quelle: </w:t>
      </w:r>
      <w:r>
        <w:t>https://mcp.opencaselaw.ch/entscheid/ti_gerichte_12.1997.87</w:t>
      </w:r>
    </w:p>
    <w:p>
      <w:r>
        <w:t>FR: TI_GERICHTE 12.1997.87 du 26 mai 1997</w:t>
      </w:r>
    </w:p>
    <w:p>
      <w:r>
        <w:t>IT: TI_GERICHTE 12.1997.87 del 26 maggio 1997</w:t>
      </w:r>
    </w:p>
    <w:p>
      <w:pPr>
        <w:pStyle w:val="Heading2"/>
      </w:pPr>
      <w:r>
        <w:t>Regeste</w:t>
      </w:r>
    </w:p>
    <w:p>
      <w:r>
        <w:t>Sentenza o decisione senza scheda</w:t>
      </w:r>
    </w:p>
    <w:p>
      <w:pPr>
        <w:pStyle w:val="Heading2"/>
      </w:pPr>
      <w:r>
        <w:t>Erwägungen</w:t>
      </w:r>
    </w:p>
    <w:p>
      <w:r>
        <w:rPr>
          <w:b/>
        </w:rPr>
        <w:t>E. 1</w:t>
      </w:r>
    </w:p>
    <w:p>
      <w:r>
        <w:t>La dottrina e la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 Ciò premesso, in via preliminare, si tratterà di analizzare la liceità dello sciopero iniziato il 3 novembre 1994.</w:t>
      </w:r>
    </w:p>
    <w:p>
      <w:r>
        <w:rPr>
          <w:b/>
        </w:rPr>
        <w:t>E. 2</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l’appellante ritiene lo sciopero rispettoso del principio dell’adeguatezza e della proporzionalità (lett. d), dall’altra l’appellata contesta sia che all’__________,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appellata non risulta necessaria, di modo che la questione circa l’esistenza delle due condizioni poste alle lett. a e b può tranquillamente rimanere irrisolta.</w:t>
      </w:r>
    </w:p>
    <w:p>
      <w:r>
        <w:rPr>
          <w:b/>
        </w:rPr>
        <w:t>E. 2.1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__________ e __________ cfr. testi __________ p. 82 e __________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__________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__________ p. 32, __________ p. 82)- che nelle trattative promosse __________ a</w:t>
      </w:r>
    </w:p>
    <w:p>
      <w:r>
        <w:rPr>
          <w:b/>
        </w:rPr>
        <w:t>E. 2.2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2.3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È pertanto da respingere la tesi sostenuta in prima sede dall’istante, secondo cui il licenziamento era ingiustificato per il fatto che lo sciopero fosse lecito. 3. Con l’appello principale, l’appellante sostiene in via abbondanziale che, se anche lo sciopero fosse stato illecito, tale circostanza non costituirebbe ancora un valido motivo per significare una disdetta immediata, non avendo la controparte né affermato, né tantomeno provato, che la prosecuzione del rapporto di lavoro fino al prossimo termine di disdetta le fosse oggettivamente impossibile. Giusta l’art. 321 cpv. 1 lett. b CPC in sede di appello è esclusa la facoltà di addurre nuovi fatti, prove ed eccezioni; questa Camera ha recentemente avuto modo di precisare che tale norma risulta applicabile anche nell’ambito della procedura speciale per salari e mercedi (IICCA 3 aprile 1996 in re T./T. SA, 27 agosto 1996 in re S./L.G. SA, 24 settembre 1996 in re M./F. e lc., 16 gennaio 1997 in re S./A.), non potendo esserle contrapposta con successo la massima ufficiale stabilita dal diritto federale all’art. 343 cpv. 4 CO (Cocchi/Trezzini, CPC, N. 4 ad art. 321; IICCA 14 marzo 1997 in re P./T. SA). Ne discende che questa nuova tesi di diritto, formulata dall’appellante per la prima volta in questa sede, deve essere senz’altro considerata irricevibile. Fosse stata anche ricevibile, la stessa -come vedremo nei prossimi considerandi- sarebbe in ogni caso stata infondata nel merito. 4. 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dell’appellante -che come vedremo era cosciente dell’illiceità dell’agitazione- andrebbe considerato del tutto giustificato. 5. Vero è che un’altra parte della dottrina contesta siccome troppo categorica quella giurisprudenza dell’Alta Corte (Bucher, Gibt es ein verfassungsmässiges “Streikrecht” und lässt sich diese Vorstellung ins Privatrecht übertragen?, in recht 1987 p.</w:t>
      </w:r>
    </w:p>
    <w:p>
      <w:r>
        <w:rPr>
          <w:b/>
        </w:rPr>
        <w:t>E. 7</w:t>
      </w:r>
    </w:p>
    <w:p>
      <w:r>
        <w:t>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 al momento di indire lo sciopero -come già accennato- il sindacato, sulla base dei (pochi) elementi a sua disposizione, non lo poteva però ancora sapere con certezza.</w:t>
      </w:r>
    </w:p>
    <w:p>
      <w:r>
        <w:rPr>
          <w:b/>
        </w:rPr>
        <w:t>E. 9</w:t>
      </w:r>
    </w:p>
    <w:p>
      <w:r>
        <w:t>Ne discende la reiezione dell’appello adesivo, ritenuto che le ripetibili della procedura di appello adesivo sono poste a carico della parte soccombente (art. 148 CPC). Per i quali motivi, richiamato l’art. 148 CPC dichiara e pronuncia I. L’appello</w:t>
      </w:r>
    </w:p>
    <w:p>
      <w:r>
        <w:rPr>
          <w:b/>
        </w:rPr>
        <w:t>E. 14</w:t>
      </w:r>
    </w:p>
    <w:p>
      <w:r>
        <w:t>marzo 1997 di __________ in quanto ricevibile è respinto . II. Non si prelevano né tasse, né spese per la procedura di appello. L’appellante rifonderà a controparte fr. 300.- a titolo di ripetibili. III. L’appello adesivo 4 aprile 1997 di __________ è respinto . IV. Non si prelevano né tasse, né spese per la procedura di appello adesivo. L’appellante adesivamente rifonderà a controparte fr. 30.- a titolo di ripetibili. V. Intimazione a:      - __________ Comunicazione alla Pretura della giurisdizione di Mendrisio 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