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12.1997.84 vom 26. Mai 1997</w:t>
      </w:r>
    </w:p>
    <w:p>
      <w:r>
        <w:t>TI Tribunale d'appello, 1997-05-26, IT</w:t>
      </w:r>
    </w:p>
    <w:p>
      <w:r>
        <w:rPr>
          <w:b/>
        </w:rPr>
        <w:t xml:space="preserve">Quelle: </w:t>
      </w:r>
      <w:r>
        <w:t>https://mcp.opencaselaw.ch/entscheid/ti_gerichte_12.1997.84</w:t>
      </w:r>
    </w:p>
    <w:p>
      <w:r>
        <w:t>FR: TI_GERICHTE 12.1997.84 du 26 mai 1997</w:t>
      </w:r>
    </w:p>
    <w:p>
      <w:r>
        <w:t>IT: TI_GERICHTE 12.1997.84 del 26 maggio 1997</w:t>
      </w:r>
    </w:p>
    <w:p>
      <w:pPr>
        <w:pStyle w:val="Heading2"/>
      </w:pPr>
      <w:r>
        <w:t>Regeste</w:t>
      </w:r>
    </w:p>
    <w:p>
      <w:r>
        <w:t>Sentenza o decisione senza scheda</w:t>
      </w:r>
    </w:p>
    <w:p>
      <w:pPr>
        <w:pStyle w:val="Heading2"/>
      </w:pPr>
      <w:r>
        <w:t>Erwägungen</w:t>
      </w:r>
    </w:p>
    <w:p>
      <w:r>
        <w:rPr>
          <w:b/>
        </w:rPr>
        <w:t>E. 1</w:t>
      </w:r>
    </w:p>
    <w:p>
      <w:r>
        <w:t>La dottrina e la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 Ciò premesso, in via preliminare, si tratterà di analizzare la liceità dello sciopero iniziato il 3 novembre 1994.</w:t>
      </w:r>
    </w:p>
    <w:p>
      <w:r>
        <w:rPr>
          <w:b/>
        </w:rPr>
        <w:t>E. 2</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l’appellante ritiene lo sciopero rispettoso del principio dell’adeguatezza e della proporzionalità (lett. d), dall’altra l’appellata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appellata non risulta necessaria, di modo che la questione circa l’esistenza delle due condizioni poste alle lett. a e b può tranquillamente rimanere irrisolta.</w:t>
      </w:r>
    </w:p>
    <w:p>
      <w:r>
        <w:rPr>
          <w:b/>
        </w:rPr>
        <w:t>E. 2.1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2.2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2.3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È pertanto da respingere la tesi sostenuta in prima sede dall’istante, secondo cui il licenziamento era ingiustificato per il fatto che lo sciopero fosse lecito.</w:t>
      </w:r>
    </w:p>
    <w:p>
      <w:r>
        <w:rPr>
          <w:b/>
        </w:rPr>
        <w:t>E. 3</w:t>
      </w:r>
    </w:p>
    <w:p>
      <w:r>
        <w:t>Con l’appello principale, l’appellante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è esclusa la facoltà di addurre nuovi fatti, prove ed eccezioni; questa Camera ha recentemente avuto modo di precisare che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dall’appellante per la prima volta in questa sede, deve essere senz’altro considerata irricevibile. Fosse stata anche ricevibile, la stessa -come vedremo nei prossimi considerandi- sarebbe in ogni caso stata infondata nel merito.</w:t>
      </w:r>
    </w:p>
    <w:p>
      <w:r>
        <w:rPr>
          <w:b/>
        </w:rPr>
        <w:t>E. 4</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dell’appellante -che come vedremo era cosciente dell’illiceità dell’agitazione- andrebbe considerato del tutto giustificato.</w:t>
      </w:r>
    </w:p>
    <w:p>
      <w:r>
        <w:rPr>
          <w:b/>
        </w:rPr>
        <w:t>E. 5</w:t>
      </w:r>
    </w:p>
    <w:p>
      <w:r>
        <w:t>Vero è che un’altra parte della dottrina contesta siccome troppo categorica quella giurisprudenza dell’Alta Corte (Bucher, Gibt es ein verfassungsmässiges “Streikrecht” und lässt sich diese Vorstellung ins Privatrecht übertragen?, in recht 1987 p.</w:t>
      </w:r>
    </w:p>
    <w:p>
      <w:r>
        <w:rPr>
          <w:b/>
        </w:rPr>
        <w:t>E. 5.1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5.2</w:t>
      </w:r>
    </w:p>
    <w:p>
      <w:r>
        <w:t>A torto, l’appellante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5.3</w:t>
      </w:r>
    </w:p>
    <w:p>
      <w:r>
        <w:t>Quanto all’esistenza di una situazione di gravità tale da non poter rendere possibile in buona fede la continuazione del rapporto lavorativo fino al termine della disdetta ordinaria, si osserva quanto segue:</w:t>
      </w:r>
    </w:p>
    <w:p>
      <w:r>
        <w:rPr>
          <w:b/>
        </w:rPr>
        <w:t>E. 5.3.1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__________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5.3.2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5.3.3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 5.4   Contrariamente a quanto ritenuto dall’appellante,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5.5</w:t>
      </w:r>
    </w:p>
    <w:p>
      <w:r>
        <w:t>Se ne deve perciò concludere per la legittimità del licenziamento in tronco. 6. L’appello principale, nella misura in cui è ricevibile, deve pertanto essere respinto, con l’accollo dell’indennità per ripetibili a carico della parte appellante (art. 148 CPC). 7. Con l’appello adesivo la convenuta chiede innanzitutto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La censura è manifestamente infondata. Il comportamento censurato dalla convenuta non è infatti assimilabile ad un effettivo abbandono del posto di lavoro: a non averne dubbi, l’istante, partecipando a un’agitazione sindacale come quella qui in esame, non aveva affatto inteso lasciare in maniera cosciente, intenzionale ma soprattutto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8. L’appellante adesivamente censura infine l’ammontare delle ripetibili assegnatele dal Pretore (fr. 780.-), postulandone un sostanziale aumento (a fr. 1’300.-):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9’120.60 la TOA prescrive un onorario complessivo dal 10 al 20% (art. 9), l’indennità per ripetibili a favore della parte vincente potrebbe ammontare tra fr. 910.- e fr. 1’820.-; trattandosi in casu di un procedimento civile speciale a carattere contenzioso, l’onorario va tuttavia ridotto al 30 - 80% di quello normalmente previsto (art. 15 TOA), potendo perciò variare da un minimo di fr. 275.- ad un massimo di fr. 1’450.-. Tenuto conto che le lett. a e b dell’art. 12 TOA permettono di aumentare tali somme dal 30 al 60 % in caso di pratiche patricolarmente complesse e che hanno coinvolto piu persone, l’indennità per ripetibili attribuita avrebbe dovuto rientrare tra fr. 360.- e fr. 2’325.-. Nel caso di specie, tenuto conto del fatto che la presente causa risulta essere simile, se non addirittura identica, a quelle (congiunte per l’istruttoria) che contrapponevano la convenuta stessa ad altre 35 lavoratrici -il che dovrebbe indurre il giudice ad applicare le tariffe percentuali inferiori (IICCA 27 settembre 1995 in re L.K./C.A., 9 gennaio 1997 in re F./N.), se non altro per il fatto che l’intervento del patrocinatore è stato agevolato dalla circostanza che le argomentazioni sollevate erano state riprese rispettivamente servivano anche per le altre 35 cause- nonchè della lieve parziale soccombenza della convenuta in primo grado, l’importo riconosciuto da parte del Pretore appare del tutto corretto e può essere tranquillamente confermato.</w:t>
      </w:r>
    </w:p>
    <w:p>
      <w:r>
        <w:rPr>
          <w:b/>
        </w:rPr>
        <w:t>E. 9</w:t>
      </w:r>
    </w:p>
    <w:p>
      <w:r>
        <w:t>Ne discende la reiezione dell’appello adesivo, ritenuto che le ripetibili della procedura di appello adesivo sono poste a carico della parte soccombente (art. 148 CPC). Per i quali motivi, richiamato l’art. 148 CPC dichiara e pronuncia I. L’appello</w:t>
      </w:r>
    </w:p>
    <w:p>
      <w:r>
        <w:rPr>
          <w:b/>
        </w:rPr>
        <w:t>E. 14</w:t>
      </w:r>
    </w:p>
    <w:p>
      <w:r>
        <w:t>marzo 1997 di __________ in quanto ricevibile è respinto . II. Non si prelevano né tasse, né spese per la procedura di appello. L’appellante rifonderà a controparte fr. 300.- a titolo di ripetibili. III. L’appello adesivo 4 aprile 1997 di __________ è respinto . IV. Non si prelevano né tasse, né spese per la procedura di appello adesivo. L’appellante adesivamente rifonderà a controparte fr. 30.- a titolo di ripetibili. V.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