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12.1997.78 vom 26. Mai 1997</w:t>
      </w:r>
    </w:p>
    <w:p>
      <w:r>
        <w:t>TI Tribunale d'appello, 1997-05-26, IT</w:t>
      </w:r>
    </w:p>
    <w:p>
      <w:r>
        <w:rPr>
          <w:b/>
        </w:rPr>
        <w:t xml:space="preserve">Quelle: </w:t>
      </w:r>
      <w:r>
        <w:t>https://mcp.opencaselaw.ch/entscheid/ti_gerichte_12.1997.78</w:t>
      </w:r>
    </w:p>
    <w:p>
      <w:r>
        <w:t>FR: TI_GERICHTE 12.1997.78 du 26 mai 1997</w:t>
      </w:r>
    </w:p>
    <w:p>
      <w:r>
        <w:t>IT: TI_GERICHTE 12.1997.78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l’appellata ritiene lo sciopero rispettoso del principio dell’adeguatezza e della proporzionalità (lett. d), dall’altra l’appellante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appellante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SEI e FLMO;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FLMO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dall’OCST, 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 3. 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 4. Vero è che un’altra parte della dottrina contesta siccome troppo categorica quella giurisprudenza dell’__________ __________ (__________,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 4.1 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 4.2 Quanto all’esistenza di una situazione di gravità tale da non poter rendere possibile in buona fede la continuazione del rapporto lavorativo fino al termine della disdetta ordinaria, si osserva quanto segue: 4.2.1 L’istruttoria ha innanzitutto provato che qualche giorno prima dell’inizio dello sciopero le lavoratrici erano state convocate dal datore di lavoro ad una riunione (teste __________ p. 45, __________ p. 51__________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Telecampione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 4.2.2 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Mendrisio,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“__________x,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__________o”;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 4.3 Contrariamente a quanto ritenuto dall’appellata,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 4.4 Se ne deve perciò concludere per la legittimità del licenziamento in tronco, il che esclude l’obbligo del datore di lavoro di rifondere alla controparte le pretese salariali ex art. 337c cpv. 1 CO e l’indennità per licenziamento ingiustificato ex art. 337c cpv. 3 CO. 5. Con l’appello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La censura è per contro manifestamente infondata. Il comportamento censurato dalla convenuta non è infatti assimilabile ad un effettivo abbandono del posto di lavoro: a non averne dubbi, l’istante, partecipando a un’agitazione sindacale come quella qui in esame, non aveva affatto inteso lasciare in maniera cosciente, intenzionale ma soprattutto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la somma di fr. 470.95, trattenuta a suo tempo (doc. D), deve essere resa alla lavoratrice. 6. L’appellante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12’677.20 la TOA prescrive un onorario complessivo dall’8 al 15% (art. 9), l’indennità per ripetibili a favore della parte vincente potrebbe ammontare tra fr. 1’015.- e fr. 1’900.-; trattandosi in casu di un procedimento civile speciale a carattere contenzioso, l’onorario va tuttavia ridotto al 30 - 80% di quello normalmente previsto (art. 15 TOA), potendo perciò variare da un minimo di fr. 305.- ad un massimo di fr. 1’520.-. Tenuto conto che le lett. a e b dell’art. 12 TOA permettono di aumentare tali somme dal 30 al 60 % in caso di pratiche patricolarmente complesse e che hanno coinvolto piu persone, l’indennità per ripetibili attribuita avrebbe dovuto rientrare tra fr. 400.- e fr. 2’430.-.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appare senz’altro corretto riconoscere in prima sede un’indennità per ripetibili di fr. 600.-, importo in sintonia con la valutazione fatta dal Pretore.</w:t>
      </w:r>
    </w:p>
    <w:p>
      <w:r>
        <w:rPr>
          <w:b/>
        </w:rPr>
        <w:t>E. 7</w:t>
      </w:r>
    </w:p>
    <w:p>
      <w:r>
        <w:t>L’appello è pertanto parzialmente accolto ai sensi dei considerandi, senza perciò che sia necessario chinarsi sulle ulteriori censure formulate dall’appellante in via subordinata o in via ancor più subordinata. Le ripetibili di entrambe le sedi seguono la soccombenza (art. 148 CPC). Per i quali motivi, richiamato l’art. 148 CPC dichiara e pronuncia I. L’appello 17 marzo 1997 di __________ è parzialmente accolto . Di conseguenza la sentenza 27 febbraio 1997 della Pretura della giurisdizione di Mendrisio nord, invariati gli altri dispositivi, è così riformata: 1. In parziale accoglimento dell’istanza, __________, è tenuta a versare a __________ __________l’importo di fr. 470.95, oltre ad interessi al 5% dal 01.01.1995. 3. Trattandosi di vertenza in materia di contratto di lavoro, non si prelevano né tasse né spese. La parte istante è tenuta a rifondere alla controparte l’importo di fr. 600.- a titolo di ripetibili. II. Non si prelevano né tasse, né spese per la procedura di appello. L’appellata rifonderà a controparte fr. 300.- a titolo di ripetibili di appello. III.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