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12.1997.75 vom 26. Mai 1997</w:t>
      </w:r>
    </w:p>
    <w:p>
      <w:r>
        <w:t>TI Tribunale d'appello, 1997-05-26, IT</w:t>
      </w:r>
    </w:p>
    <w:p>
      <w:r>
        <w:rPr>
          <w:b/>
        </w:rPr>
        <w:t xml:space="preserve">Quelle: </w:t>
      </w:r>
      <w:r>
        <w:t>https://mcp.opencaselaw.ch/entscheid/ti_gerichte_12.1997.75</w:t>
      </w:r>
    </w:p>
    <w:p>
      <w:r>
        <w:t>FR: TI_GERICHTE 12.1997.75 du 26 mai 1997</w:t>
      </w:r>
    </w:p>
    <w:p>
      <w:r>
        <w:t>IT: TI_GERICHTE 12.1997.75 del 26 maggio 1997</w:t>
      </w:r>
    </w:p>
    <w:p>
      <w:pPr>
        <w:pStyle w:val="Heading2"/>
      </w:pPr>
      <w:r>
        <w:t>Regeste</w:t>
      </w:r>
    </w:p>
    <w:p>
      <w:r>
        <w:t>Sentenza o decisione senza scheda</w:t>
      </w:r>
    </w:p>
    <w:p>
      <w:pPr>
        <w:pStyle w:val="Heading2"/>
      </w:pPr>
      <w:r>
        <w:t>Erwägungen</w:t>
      </w:r>
    </w:p>
    <w:p>
      <w:r>
        <w:rPr>
          <w:b/>
        </w:rPr>
        <w:t>E. 1</w:t>
      </w:r>
    </w:p>
    <w:p>
      <w:r>
        <w:t>La dottrina e la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 Ciò premesso, in via preliminare, si tratterà di analizzare la liceità dello sciopero iniziato il 3 novembre 1994.</w:t>
      </w:r>
    </w:p>
    <w:p>
      <w:r>
        <w:rPr>
          <w:b/>
        </w:rPr>
        <w:t>E. 2</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l’appellante ritiene lo sciopero rispettoso del principio dell’adeguatezza e della proporzionalità (lett. d), dall’altra l’appellata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appellata non risulta necessaria, di modo che la questione circa l’esistenza delle due condizioni poste alle lett. a e b può tranquillamente rimanere irrisolta.</w:t>
      </w:r>
    </w:p>
    <w:p>
      <w:r>
        <w:rPr>
          <w:b/>
        </w:rPr>
        <w:t>E. 2.1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2.2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2.3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È pertanto da respingere la tesi sostenuta in prima sede dall’istante, secondo cui il licenziamento era ingiustificato per il fatto che lo sciopero fosse lecito.</w:t>
      </w:r>
    </w:p>
    <w:p>
      <w:r>
        <w:rPr>
          <w:b/>
        </w:rPr>
        <w:t>E. 3</w:t>
      </w:r>
    </w:p>
    <w:p>
      <w:r>
        <w:t>Con l’appello principale, l’appellante sostiene in via abbondanziale che, se anche lo sciopero fosse stato illecito, tale circostanza non costituirebbe ancora un valido motivo per significare una disdetta immediata, non avendo la controparte né affermato, né tantomeno provato, che la prosecuzione del rapporto di lavoro fino al prossimo termine di disdetta le fosse oggettivamente impossibile. Giusta l’art. 321 cpv. 1 lett. b CPC in sede di appello è esclusa la facoltà di addurre nuovi fatti, prove ed eccezioni; questa Camera ha recentemente avuto modo di precisare che tale norma risulta applicabile anche nell’ambito della procedura speciale per salari e mercedi (IICCA 3 aprile 1996 in re T./T. SA, 27 agosto 1996 in re S./L.G. SA, 24 settembre 1996 in re M./F. e lc., 16 gennaio 1997 in re S./A.), non potendo esserle contrapposta con successo la massima ufficiale stabilita dal diritto federale all’art. 343 cpv. 4 CO (Cocchi/Trezzini, CPC, N. 4 ad art. 321; IICCA 14 marzo 1997 in re P./T. SA). Ne discende che questa nuova tesi di diritto, formulata dall’appellante per la prima volta in questa sede, deve essere senz’altro considerata irricevibile. Fosse stata anche ricevibile, la stessa -come vedremo nei prossimi considerandi- sarebbe in ogni caso stata infondata nel merito.</w:t>
      </w:r>
    </w:p>
    <w:p>
      <w:r>
        <w:rPr>
          <w:b/>
        </w:rPr>
        <w:t>E. 4</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dell’appellante -che come vedremo era cosciente dell’illiceità dell’agitazione- andrebbe considerato del tutto giustificato.</w:t>
      </w:r>
    </w:p>
    <w:p>
      <w:r>
        <w:rPr>
          <w:b/>
        </w:rPr>
        <w:t>E. 5</w:t>
      </w:r>
    </w:p>
    <w:p>
      <w:r>
        <w:t>Vero è che un’altra parte della dottrina contesta siccome troppo categorica quella giurisprudenza dell’Alta Corte (Bucher, Gibt es ein verfassungsmässiges “Streikrecht” und lässt sich diese Vorstellung ins Privatrecht übertragen?, in recht 1987 p.</w:t>
      </w:r>
    </w:p>
    <w:p>
      <w:r>
        <w:rPr>
          <w:b/>
        </w:rPr>
        <w:t>E. 5.1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5.2</w:t>
      </w:r>
    </w:p>
    <w:p>
      <w:r>
        <w:t>A torto, l’appellante afferma innanzitutto che il suo licenziamento sarebbe ingiustificato già solo per il fatto che la controparte mai avrebbe affermato in precedenza che la prosecuzione del rapporto di lavoro fino al prossimo termine di disdetta le fosse oggettivamente impossibile, essendosi per contro limitata a rimproverare alla dipendente la partecipazione ad uno sciopero illegale: senonchè è incontestabile che già il fatto che il datore di lavoro abbia notificato un licenziamento in tronco stà implicitamente ad indicare che, a suo giudizio, nel caso concreto la prosecuzione del rapporto di lavoro fino allo spirare del termine di disdetta non sia più ragionevolmente ipotizzabile.</w:t>
      </w:r>
    </w:p>
    <w:p>
      <w:r>
        <w:rPr>
          <w:b/>
        </w:rPr>
        <w:t>E. 5.3</w:t>
      </w:r>
    </w:p>
    <w:p>
      <w:r>
        <w:t>Quanto all’esistenza di una situazione di gravità tale da non poter rendere possibile in buona fede la continuazione del rapporto lavorativo fino al termine della disdetta ordinaria, si osserva quanto segue:</w:t>
      </w:r>
    </w:p>
    <w:p>
      <w:r>
        <w:rPr>
          <w:b/>
        </w:rPr>
        <w:t>E. 5.3.1</w:t>
      </w:r>
    </w:p>
    <w:p>
      <w:r>
        <w:t>L’istruttoria ha innanzitutto provato che qualche giorno prima dell’inizio dello sciopero le lavoratrici erano state convocate dal datore di lavoro ad una riunione (teste __________ p. 45, __________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5.3.2</w:t>
      </w:r>
    </w:p>
    <w:p>
      <w:r>
        <w:t>Se ciò non bastasse, va osservato che l’istante continuò l’agitazione anche il lunedì 7 novembre, nonstante i richiami telefonici ricevuti (cfr. doc. V) e dopo che in precedenza, e meglio il 5 novembre -come risulta dal comunicato stampa emesso dal sindacato (doc. Z)- il datore di lavoro aveva nuovamente ed espressamente avvisato le dipendenti “superstiti” che entro lunedì mattina avrebbe proceduto al licenziamento in tronco di tutte le dipendenti che avevano deciso di scioperare: a giustificare il licenziamento immediato, in questo caso, è la ripetizione della violazione contrattuale (assenza per sciopero) nonostante la formale minaccia di licenziamento in tronco in caso di mancato ossequio.</w:t>
      </w:r>
    </w:p>
    <w:p>
      <w:r>
        <w:rPr>
          <w:b/>
        </w:rPr>
        <w:t>E. 5.3.3</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5.4</w:t>
      </w:r>
    </w:p>
    <w:p>
      <w:r>
        <w:t>Contrariamente a quanto ritenuto dall’appellante,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5.5</w:t>
      </w:r>
    </w:p>
    <w:p>
      <w:r>
        <w:t>Se ne deve perciò concludere per la legittimità del licenziamento in tronco. 6. L’appello principale, nella misura in cui è ricevibile, deve pertanto essere respinto, con l’accollo dell’indennità per ripetibili a carico della parte appellante (art. 148 CPC). 7. Con l’appello adesivo la convenuta chiede innanzitutto che venga accertata la legittimità della trattenuta di un quarto del salario mensile, da lei operata al momento del licenziamento in tronco, ritenendo in sostanza che la dichiarazione di uno sciopero illecito ad oltranza dovesse essere interpretata come un abbandono del posto di lavoro da parte del lavoratore ai sensi dell’art. 337d CO. La censura è manifestamente infondata. Il comportamento censurato dalla convenuta non è infatti assimilabile ad un effettivo abbandono del posto di lavoro: a non averne dubbi, l’istante, partecipando a un’agitazione sindacale come quella qui in esame, non aveva affatto inteso lasciare in maniera cosciente, intenzionale ma soprattutto definitiva il posto di lavoro (DTF 112 II 49; JAR 1994 p. 229; IICCA 15 marzo 1994 in re D./M. &amp; CO, 23 marzo 1995 in re P./R. SA, 2 novembre 1995 in re L./R., 6 dicembre 1995 in re E./C., 3 aprile 1996 in re A./H. AG), tanto è vero che il lavoro sarebbe senz’altro ripreso al termine dell’agitazione stessa; del resto per le lavoratrici lo scopo dello sciopero, né potrebbe essere altrimenti, era quello di ottenere delle condizioni di lavoro migliori, ciò che presupponeva evidentemente che il rapporto di lavoro tra le parti continuasse anche in futuro. La giurisprudenza ha in ogni caso già avuto modo di precisare che l’esercizio di uno sciopero illegittimo da parte di un lavoratore non consente alla controparte di operare la trattenuta di cui all’art. 337d cpv. 1 CO (JAR 1982 p. 282). 8. L’appellante adesivamente censura infine l’ammontare delle ripetibili assegnatele dal Pretore (fr. 630.-), postulandone un sostanziale aumento (a fr. 1’200.-): a suo dire, in considerazione della complessità della fattispecie appariva senz’altro giustificato applicare un’aliquota percentuale superiore a quella del 5% apparentemente riconosciuta dal giudice di prime cure, e meglio tendente al massimo previsto dall’art. 9 TOA. Atteso che per le cause ordinarie con un valore di fr. 8’327.80 la TOA prescrive un onorario complessivo dal 10 al 20% (art. 9), l’indennità per ripetibili a favore della parte vincente potrebbe ammontare tra fr. 830.- e fr. 1’660.-; trattandosi in casu di un procedimento civile speciale a carattere contenzioso, l’onorario va tuttavia ridotto al 30 - 80% di quello normalmente previsto (art. 15 TOA), potendo perciò variare da un minimo di fr. 250.- ad un massimo di fr. 1’330.-. Tenuto conto che le lett. a e b dell’art. 12 TOA permettono di aumentare tali somme dal 30 al 60 % in caso di pratiche patricolarmente complesse e che hanno coinvolto piu persone, l’indennità per ripetibili attribuita avrebbe dovuto rientrare tra fr. 325.- e fr. 2’130.-. Nel caso di specie, tenuto conto del fatto che la presente causa risulta essere simile, se non addirittura identica, a quelle (congiunte per l’istruttoria) che contrapponevano la convenuta stessa ad altre 35 lavoratrici -il che dovrebbe indurre il giudice ad applicare le tariffe percentuali inferiori (IICCA 27 settembre 1995 in re L.K./C.A., 9 gennaio 1997 in re F./N.), se non altro per il fatto che l’intervento del patrocinatore è stato agevolato dalla circostanza che le argomentazioni sollevate erano state riprese rispettivamente servivano anche per le altre 35 cause- nonchè della lieve parziale soccombenza della convenuta in primo grado, l’importo riconosciuto da parte del Pretore appare del tutto corretto e può essere tranquillamente confermato.</w:t>
      </w:r>
    </w:p>
    <w:p>
      <w:r>
        <w:rPr>
          <w:b/>
        </w:rPr>
        <w:t>E. 9</w:t>
      </w:r>
    </w:p>
    <w:p>
      <w:r>
        <w:t>Ne discende la reiezione dell’appello adesivo, ritenuto che le ripetibili della procedura di appello adesivo sono poste a carico della parte soccombente (art. 148 CPC). Per i quali motivi, richiamato l’art. 148 CPC dichiara e pronuncia I. L’appello</w:t>
      </w:r>
    </w:p>
    <w:p>
      <w:r>
        <w:rPr>
          <w:b/>
        </w:rPr>
        <w:t>E. 14</w:t>
      </w:r>
    </w:p>
    <w:p>
      <w:r>
        <w:t>marzo 1997 di __________ in quanto ricevibile è respinto . II. Non si prelevano né tasse, né spese per la procedura di appello. L’appellante rifonderà a controparte fr. 300.- a titolo di ripetibili. III. L’appello adesivo 4 aprile 1997 di __________ è respinto . IV. Non si prelevano né tasse, né spese per la procedura di appello adesivo. L’appellante adesivamente rifonderà a controparte fr. 30.- a titolo di ripetibili. V. Intimazione a:   - __________ Comunicazione alla Pretura della giurisdizione di Mendrisio 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