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12.1997.200 vom 6. August 1997</w:t>
      </w:r>
    </w:p>
    <w:p>
      <w:r>
        <w:t>TI Tribunale d'appello, 1997-08-06, IT</w:t>
      </w:r>
    </w:p>
    <w:p>
      <w:r>
        <w:rPr>
          <w:b/>
        </w:rPr>
        <w:t xml:space="preserve">Quelle: </w:t>
      </w:r>
      <w:r>
        <w:t>https://mcp.opencaselaw.ch/entscheid/ti_gerichte_12.1997.200</w:t>
      </w:r>
    </w:p>
    <w:p>
      <w:r>
        <w:t>FR: TI_GERICHTE 12.1997.200 du 6 août 1997</w:t>
      </w:r>
    </w:p>
    <w:p>
      <w:r>
        <w:t>IT: TI_GERICHTE 12.1997.200 del 6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contestazione della graduatoria è possibile in via di reclamo fondato sull’art. 17 LEF per violazione di prescrizioni procedurali, o con un’azione basata sull’art. 250 LEF quando ne sia contestato il contenuto di diritto materiale. Scopo di quest’ultima azione può essere quello di accertare se un credito debba o meno essere considerato nella liquidazione del fallito, se sia corretto l’importo insinuato o -come nel caso di specie- il rango attribuito alla pretesa, oppure ancora se il credito sia o meno garantito da un diritto di pegno ( DTF 114 III 110 e segg.; IICCA</w:t>
      </w:r>
    </w:p>
    <w:p>
      <w:r>
        <w:rPr>
          <w:b/>
        </w:rPr>
        <w:t>E. 6</w:t>
      </w:r>
    </w:p>
    <w:p>
      <w:r>
        <w:t>Il commissario, sentito in sede testimoniale, ha d’altro canto confermato che durante la moratoria l’attore si è in pratica limitato a svolgere l’attività di agente senza occuparsi delle questioni dirigenziali, tanto è vero che non ha esitato a concludere che a quel momento sia l’attore sia l’altro agente, signor __________ -al quale per inciso è stato per contro riconosciuto il beneficio della III classe (cfr. graduatoria, doc. 3)- si trovavano più o meno nella medesima posizione (teste __________, verbale p. 2): anche per questo motivo, ben si giustifica la concessione del privilegio di III classe.</w:t>
      </w:r>
    </w:p>
    <w:p>
      <w:r>
        <w:rPr>
          <w:b/>
        </w:rPr>
        <w:t>E. 7</w:t>
      </w:r>
    </w:p>
    <w:p>
      <w:r>
        <w:t>Ne discende l’accoglimento dell’appello, nonché -atteso che l’appellante ha debitamente documentato la sua situazione d’indigenza- della sua domanda volta all’ottenimento dell’assistenza giudiziaria in secondo grado. La tassa di giustizia, le spese e le ripetibili di entrambe le sedi seguono la soccombenza (art. 148 CPC). Per i quali motivi, richiamati l’art. 148 CPC e la TG dichiara e pronuncia I. L’appello 7 ottobre 1996 di __________ è accolto . Di conseguenza la sentenza</w:t>
      </w:r>
    </w:p>
    <w:p>
      <w:r>
        <w:rPr>
          <w:b/>
        </w:rPr>
        <w:t>E. 10</w:t>
      </w:r>
    </w:p>
    <w:p>
      <w:r>
        <w:t>settembre 1996 della Pretura della giurisdizione di Mendrisio sud è così riformata: 1. La petizione 22 giugno 1995 __________, è accolta. § Di conseguenza la decisione 8 giugno 1995 dell’Amministrazione del fallimento __________ è modificata nel senso che il credito di fr. 34’052.40 insinuato nel fallimento dal signor __________ è posto in III classe. 2. La tassa di giustizia, fissata in fr. 1’300.-, nonché le spese, da anticipare come di rito, sono poste a carico della Massa fallimentare della __________, la quale rifonderà a __________ o, fr. 700.- a titolo di ripetibili. II. Le spese della procedura d’appello consistenti in: a) tassa di giustizia        fr. 550.- b) spese fr.    50.- Totale fr.  600.- da anticiparsi dall’appellante, sono poste a carico dell’appellata, che rifonderà alla controparte fr. 600.- per ripetibili di appello. III. L’istanza di ammissione al beneficio dell’assistenza giudiziaria per la procedura di appello presentata da __________ è accolta, con il gratuito patrocinio dell’avv. __________. IV. Intimazione a:      -      __________ Comunicazione alla Pretura della giurisdizione di Mendrisio sud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