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12.1997.191 vom 9. März 1998</w:t>
      </w:r>
    </w:p>
    <w:p>
      <w:r>
        <w:t>TI Tribunale d'appello, 1998-03-09, IT</w:t>
      </w:r>
    </w:p>
    <w:p>
      <w:r>
        <w:rPr>
          <w:b/>
        </w:rPr>
        <w:t xml:space="preserve">Quelle: </w:t>
      </w:r>
      <w:r>
        <w:t>https://mcp.opencaselaw.ch/entscheid/ti_gerichte_12.1997.191</w:t>
      </w:r>
    </w:p>
    <w:p>
      <w:r>
        <w:t>FR: TI_GERICHTE 12.1997.191 du 9 mars 1998</w:t>
      </w:r>
    </w:p>
    <w:p>
      <w:r>
        <w:t>IT: TI_GERICHTE 12.1997.191 del 9 marzo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Non torna conto esaminare se al momento della nascita del nuovo contratto di locazione, fine giugno o fine settembre 1993, l’appellante fosse provatamente incapace di discernimento. Infatti se lo era - e tale appare essere stata la sua situazione almeno a fine settembre 1993 (testimonianza dr. __________) al momento del ricovero coatto alla __________ - tra le parti sarebbe sorto un rapporto contrattuale di fatto ( DTF 63 II 371; DTF 110 II 248; OR-Bucher , Art. 1 N. 75; Bucher , Commentario bernese, ad art.17/18 CC n.182  ) al quale l’appellante, per sua iniziativa con la disdetta di fine dicembre 1993 in un momento in cui aveva sicuramente ripreso le proprie facoltà (testimonianza dr. __________ ha posto termine per la fine di marzo 1994. Il fatto di aver lasciato l’appartamento già alla fine di febbraio non può rappresentare, preso a sé stante, valida e riconoscibile modifica della volontà precedentemente espressa.</w:t>
      </w:r>
    </w:p>
    <w:p>
      <w:r>
        <w:rPr>
          <w:b/>
        </w:rPr>
        <w:t>E. 10</w:t>
      </w:r>
    </w:p>
    <w:p>
      <w:r>
        <w:t>L’appello di __________ viene così parzialmente accolto nel senso che il suo obbligo di pagamento della pigione viene limitato al solo mese di marzo 1994 per l’importo di Fr. 1’680.- oltre interessi al 5% dal 1 marzo 1994. Tasse, spese e ripetibili di prima sede e d’appello seguono la soccombenza degli istanti. Per i quali motivi, richiamati, per le spese, l’art.148 CPC e la vigente LTG dichiara e pronuncia I. L'appello 7 luglio 1997 di __________ è accolto nella sua domanda subordinata e quindi la sentenza 25 giugno 1997 della Pretore del Distretto di Lugano è così riformata: 1 .   L' istanza 16/21 ottobre 1996 di __________, __________ e __________ è parzialmente accolta e di conseguenza __________ è condannato a versare loro l’importo di Fr. 1’680.- oltre interessi al 5% dal 1 marzo 1994. 2 .   La tassa di giustizia di fr. 1'200 e le spese, da anticipare dagli istanti, rimangono a loro carico per 15/16 mentre per 1/16 sono a carico del convenuto. Gli istanti rifonderanno al convenuto fr. 1’750 per parte di ripetibili. II. Le spese della procedura d'appello consistenti in: - tassa di giustizia         Fr. 850.- - spese                           Fr. 50.- totale                           Fr. 900.- anticipati dall'appellante sono a carico degli appellati per 15/16 ed a carico dell’appellante per 1/16; a quest’ultimo gli appellati rifonderanno Fr. 800.- per ripetibili d'appello. III. Intimazione a :     - __________ Comunicazione alla Pretura del Distretto di Lugano, sez. 4 Per la seconda Camera civile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