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12.1997.154 vom 17. Februar 1998</w:t>
      </w:r>
    </w:p>
    <w:p>
      <w:r>
        <w:t>TI Tribunale d'appello, 1998-02-17, IT</w:t>
      </w:r>
    </w:p>
    <w:p>
      <w:r>
        <w:rPr>
          <w:b/>
        </w:rPr>
        <w:t xml:space="preserve">Quelle: </w:t>
      </w:r>
      <w:r>
        <w:t>https://mcp.opencaselaw.ch/entscheid/ti_gerichte_12.1997.154</w:t>
      </w:r>
    </w:p>
    <w:p>
      <w:r>
        <w:t>FR: TI_GERICHTE 12.1997.154 du 17 février 1998</w:t>
      </w:r>
    </w:p>
    <w:p>
      <w:r>
        <w:t>IT: TI_GERICHTE 12.1997.154 del 17 febbraio 1998</w:t>
      </w:r>
    </w:p>
    <w:p>
      <w:pPr>
        <w:pStyle w:val="Heading2"/>
      </w:pPr>
      <w:r>
        <w:t>Regeste</w:t>
      </w:r>
    </w:p>
    <w:p>
      <w:r>
        <w:t>Sentenza o decisione senza scheda</w:t>
      </w:r>
    </w:p>
    <w:p>
      <w:pPr>
        <w:pStyle w:val="Heading2"/>
      </w:pPr>
      <w:r>
        <w:t>Erwägungen</w:t>
      </w:r>
    </w:p>
    <w:p>
      <w:r>
        <w:rPr>
          <w:b/>
        </w:rPr>
        <w:t>E. 1</w:t>
      </w:r>
    </w:p>
    <w:p>
      <w:r>
        <w:t>Giusta l’art. 42 CO -applicabile, in forza del rimando di cui all’art. 62 cpv. 1 LCS, anche nell’ambito della circolazione stradale ( Schaffhauser/Zellweger , Grundriss des schweizerischen Strassenverkehrsrechts, Vol. II, Berna 1988, n. 1101)- di regola chi pretende il risarcimento del danno ne deve fornire la prova (cpv. 1). In pratica, per ottenere il risarcimento, il danneggiato dovrà perciò provare l’esistenza del danno e quantificare il suo ammontare (art. 8 CC; Rey , Ausservertragliches Haftpflichtrecht, Zurigo 1995, N. 198 e seg.).</w:t>
      </w:r>
    </w:p>
    <w:p>
      <w:r>
        <w:rPr>
          <w:b/>
        </w:rPr>
        <w:t>E. 2</w:t>
      </w:r>
    </w:p>
    <w:p>
      <w:r>
        <w:t>L’appellante ritiene innanzitutto che il fatto che il carrozziere che ha eseguito le riparazioni dell’auto abbia confermato in sede testimoniale l’effettuazione degli interventi fatturati costituisca una prova sufficiente circa l’esistenza del danno e del suo ammontare. In realtà non è così. Il fatto che determinati interventi siano stati eseguiti e pagati non significa ancora che i relativi importi debbano essere risarciti al danneggiato: occorre piuttosto la prova che le riparazioni eseguite sono la conseguenza dell’incidente, che la loro esecuzione è necessaria per ripristinare lo stato del veicolo e che infine gli importi esposti sono corretti. In casu, il teste __________ si è in sostanza limitato a confermare l’esecuzione degli interventi di cui alla fattura (ad 3), ma non ha assolutamente affermato se le riparazioni fossero indispensabili rispettivamente fossero la conseguenza dell’incidente occorso a __________ ma se, per ipotesi, egli pure l’avesse affermato -e il medesimo discorso può essere esteso anche alle somme da lui fatturate- si tratterebbe sempre e comunque di un suo semplice parere soggettivo che non potrebbe assurgere a verità assoluta, tanto più che il teste in questione non era disinteressato all’esito della lite -nella misura in cui avrebbe potuto essere oggetto di un’eventuale rivalsa da parte del danneggiato- e che egli in ogni caso non si è dimostrato del tutto attendibile nella sua deposizione, avendo tra l’altro omesso di rispondere al controquesito 10 inerente il pagamento dell’IVA sugli importi fatturati rispettivamente non ricordando neppure le modalità di pagamento dell’ingente fattura (ad 6). Contrariamente a quanto ritenuto dall’appellante, la testimonianza __________ non è perciò sufficiente per riconoscere l’esistenza e l’ammontare del danno subito dall’attore. Quest’ultimo avrebbe pertanto dovuto far capo ad altre prove, prima fra tutte quella peritale.</w:t>
      </w:r>
    </w:p>
    <w:p>
      <w:r>
        <w:rPr>
          <w:b/>
        </w:rPr>
        <w:t>E. 3</w:t>
      </w:r>
    </w:p>
    <w:p>
      <w:r>
        <w:t>È ben vero che la perizia che a suo tempo l’assicurazione avrebbe voluto far allestire sul veicolo danneggiato non sarebbe stata determinante, in quanto semplice perizia di parte con una forza probatoria estremamente limitata: nondimeno la stessa sarebbe stata utile per la definizione del danno, nella misura in cui avrebbe confermato (anche parzialmente) che determinati danni erano la conseguenza dell’incidente, rispettivamente che gli interventi erano (parzialmente) necessari per ristabilire la funzionalità della vettura. Fatto sta che tale referto non è stato allestito.</w:t>
      </w:r>
    </w:p>
    <w:p>
      <w:r>
        <w:rPr>
          <w:b/>
        </w:rPr>
        <w:t>E. 4</w:t>
      </w:r>
    </w:p>
    <w:p>
      <w:r>
        <w:t>Pacifica l’impossibilità di esperire una perizia giudiziaria sullo stato del veicolo, nel frattempo rubato, ciò non toglie che l’attore qui appellante -cui come detto incombeva l’onere della prova- aveva a disposizione altri mezzi per tentare di portare la prova dell’esistenza e dell’ammontare del danno a suo carico: egli avrebbe potuto richiamare dalla carrozzeria o dai suoi fornitori le fatture relative ai pezzi sostituiti; avrebbe potuto far allestire una perizia sulle fotografie (doc. 8) al fine di far accertare quali erano le parti danneggiate, quali i pezzi che andavano sostituiti o invece solo riparati, quale era il costo di tali interventi; avrebbe parimenti potuto chiedere al perito giudiziario di confrontare la fattura (doc. B) con la perizia che il perito dell’assicurazione aveva eseguito sulle foto (doc. 9), il tutto per appurare se i minori importi esposti da quest’ultimo fossero corretti e se fosse vero che alcuni pezzi non erano stati rispettivamente non avrebbero dovuto essere sostituiti. In ogni caso egli non doveva semplicemente adagiarsi a contestare le conclusioni cui era giunto il perito di parte. In tali circostanze è perciò senz’altro a ragione che il Pretore gli ha riconosciuto unicamente quanto è stato ammesso dal perito di parte e -in via subordinata- dalla convenuta: l’attore non ha infatti provato -ma soprattutto non ha tentato di farlo- che gli accertamenti del perito di parte fossero errati e che al contrario gli fosse dovuto un risarcimento più alto.</w:t>
      </w:r>
    </w:p>
    <w:p>
      <w:r>
        <w:rPr>
          <w:b/>
        </w:rPr>
        <w:t>E. 5</w:t>
      </w:r>
    </w:p>
    <w:p>
      <w:r>
        <w:t>Alla medesima conclusione si giungerebbe anche se si volesse ammettere l’impossibilità oggettiva di quantificare il danno e di conseguenza si dovesse far capo all’art. 42 cpv. 2 CO, norma in base alla quale il danno di cui non può essere provato il preciso importo è stabilito dal prudente criterio del giudice. Dalle fotografie agli atti (doc. 8), l’unica documentazione che può dare al giudice un quadro oggettivo della situazione, appare infatti del tutto inverosimile che in concreto il danno possa addirittura raggiungere metà del valore dell’auto (il capitale assicurato era di Lit. 54’250’000; cfr. doc. I°, allegato M), tanto più se si pon mente al fatto che il motore non è stato minimamente interessato dal sinistro; tutto sommato, preso atto che ad essere danneggiata è stata unicamente la parte posteriore sinistra del veicolo e che le riparazioni effettuate in Italia sono notoriamente meno care di quelle in Svizzera (teste __________), questa Camera ritiene senz’altro equo aderire alle conclusioni del perito dell’assicurazione, il quale -dopo aver tra l’altro escluso la sostituzione del differenziale e del portellone superiore (cfr. pure teste __________ e doc. 6), mentre a suo dire il sedile avrebbe potuto essere sezionato (il che, dall’esame delle foto, non appare certamente arbitrario)- aveva per l’appunto valutato in Lit. 7’070’980, arrotondati a fr. 7’840.-, il costo totale delle riparazioni indispensabili.</w:t>
      </w:r>
    </w:p>
    <w:p>
      <w:r>
        <w:rPr>
          <w:b/>
        </w:rPr>
        <w:t>E. 6</w:t>
      </w:r>
    </w:p>
    <w:p>
      <w:r>
        <w:t>Ne discende la reiezione del gravame e la conferma del primo giudizio, anche per quanto riguarda la decorrenza degli interessi moratori, questione alla quale l’appellante non ha invero dedicato in questa sede neppure una parola. La tassa di giustizia, le spese e le ripetibili seguono la soccombenza (art. 148 CPC). Per i quali motivi, richiamati l’art. 148 CPC e la TG dichiara e pronuncia I. L’appello 26 maggio 1997 di __________ è respinto. II. Le spese della procedura d’appello consistenti in: a) tassa di giustizia      fr.      480.- b) spese                         fr.        20.- Totale                             fr. 500.- da anticiparsi dall’appellante, restano a suo carico con l’obbligo di rifondere alla parte appellata fr. 1’000.- per ripetibili d’appello. III. Intimazione a: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