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12.1995.57 vom 24. Februar 1995</w:t>
      </w:r>
    </w:p>
    <w:p>
      <w:r>
        <w:t>TI Tribunale d'appello, 1995-02-24, IT</w:t>
      </w:r>
    </w:p>
    <w:p>
      <w:r>
        <w:rPr>
          <w:b/>
        </w:rPr>
        <w:t xml:space="preserve">Quelle: </w:t>
      </w:r>
      <w:r>
        <w:t>https://mcp.opencaselaw.ch/entscheid/ti_gerichte_12.1995.57</w:t>
      </w:r>
    </w:p>
    <w:p>
      <w:r>
        <w:t>FR: TI_GERICHTE 12.1995.57 du 24 février 1995</w:t>
      </w:r>
    </w:p>
    <w:p>
      <w:r>
        <w:t>IT: TI_GERICHTE 12.1995.57 del 24 febbraio 1995</w:t>
      </w:r>
    </w:p>
    <w:p>
      <w:pPr>
        <w:pStyle w:val="Heading2"/>
      </w:pPr>
      <w:r>
        <w:t>Regeste</w:t>
      </w:r>
    </w:p>
    <w:p>
      <w:r>
        <w:t>Sentenza o decisione senza scheda</w:t>
      </w:r>
    </w:p>
    <w:p>
      <w:pPr>
        <w:pStyle w:val="Heading2"/>
      </w:pPr>
      <w:r>
        <w:t>Erwägungen</w:t>
      </w:r>
    </w:p>
    <w:p>
      <w:r>
        <w:rPr>
          <w:b/>
        </w:rPr>
        <w:t>E. 1</w:t>
      </w:r>
    </w:p>
    <w:p>
      <w:r>
        <w:t>Dando seguito alla richiesta formulata dall’appellante in via preliminare nel gravame, questa Camera, sulla base delle argomentazioni già addotte dal Pretore nel giudizio 7 dicembre 1993 -che trovano applicazione per analogia- conferma la congiunzione della presente procedura ricorsuale con quella presentata contro la sentenza 78/91 della Pretura del distretto di Lugano, Sezione 1 (inc. IICCA 211/94). L’appellante sembra invero rimproverare al primo giudice -e per questo motivo riformula tale richiesta in sede di appello- di aver violato il principio dell’economia processuale per il fatto di aver emesso due sentenze con due giudizi su tasse e spese, nonché duplice assegnazione di ripetibili. Ora, nel caso di specie, il principio dell’economia processuale non è tuttavia stato violato ( Rep . 1990 p. 272), in quanto la congiunzione ha permesso di effettuare una sola istruttoria, ciò che ha indubbiamente comportato una riduzione delle spese giudiziarie. Nulla impedisce al giudice, se lo ritiene opportuno, di allestire due giudizi con rispettivi giudicati su spese e ripetibili; lo stesso appellante ammette del resto che, se il giudice riunisce in una sola sentenza due cause congiunte, i dispositivi restano comunque separati e possono essere impugnati singolarmente ( Cocchi/Trezzini , CPC, N. 3 ad art. 72): ciò significa che, anche in quel caso, vi dovrà essere un doppio giudizio su spese e ripetibili. Nel giudizio sull’appello, preso atto della congiunzione precedentemente decretata e dell’impugnazione della sentenza nella causa congiunta, questa Camera, per comodità di motivazione, procederà pure con due distinte sentenze.</w:t>
      </w:r>
    </w:p>
    <w:p>
      <w:r>
        <w:rPr>
          <w:b/>
        </w:rPr>
        <w:t>E. 2</w:t>
      </w:r>
    </w:p>
    <w:p>
      <w:r>
        <w:t>L’azione di disconoscimento del debito proposta dall’attrice si basa sul diritto materiale ( Gilliéron , Poursuite pour dettes, faillite et concordat, 2. ed., p. 147; Amonn , Grundriss des Schuldbetreibungs- und Konkursrecht, 4. ed., p. 143). In essa il creditore che vi è convenuto è obbligato a dimostrare il fondamento del proprio credito. L’inversione dei ruoli processuali non comporta in altri termini anche il capovolgimento dell’onere della prova a danno del debitore e attore ( IICCA 15 giugno 1992 in re M./C.S.; Amonn , op. cit., p. 146). Quando però, come nel caso di specie, l’esistenza della pretesa creditoria non è contestata, ma il debitore eccepisce l’intervenuta estinzione in conseguenza di compensazione, egli deve sopportare l’onere della prova relativamente all’esistenza e all’ammontare della pretesa compensatoria (art. 8 CC; IICCA</w:t>
      </w:r>
    </w:p>
    <w:p>
      <w:r>
        <w:rPr>
          <w:b/>
        </w:rPr>
        <w:t>E. 6</w:t>
      </w:r>
    </w:p>
    <w:p>
      <w:r>
        <w:t>L’appello, infondato in ogni suo punto, deve pertanto essere respinto. Le spese e le ripetibili seguono la soccombenza (art. 148 CPC). Per i quali motivi, richiamati gli art. 148 CPC e la TG dichiara e pronuncia I. L’appello 28 novembre 1994 dell’avv. __________ è respinto . II. Le spese della procedura d’appello consistenti in a) tassa di giustizia          fr.    280.- b) spese                           fr.      20.- Totale fr.    300.- da anticiparsi dall’appellante, restano a suo carico con l’obbligo di rifondere alla parte appellata fr. 500.- per ripetibili. III.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