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12.1995.43 vom 9. Mai 1995</w:t>
      </w:r>
    </w:p>
    <w:p>
      <w:r>
        <w:t>TI Tribunale d'appello, 1995-05-09, IT</w:t>
      </w:r>
    </w:p>
    <w:p>
      <w:r>
        <w:rPr>
          <w:b/>
        </w:rPr>
        <w:t xml:space="preserve">Quelle: </w:t>
      </w:r>
      <w:r>
        <w:t>https://mcp.opencaselaw.ch/entscheid/ti_gerichte_12.1995.43</w:t>
      </w:r>
    </w:p>
    <w:p>
      <w:r>
        <w:t>FR: TI_GERICHTE 12.1995.43 du 9 mai 1995</w:t>
      </w:r>
    </w:p>
    <w:p>
      <w:r>
        <w:t>IT: TI_GERICHTE 12.1995.43 del 9 maggio 1995</w:t>
      </w:r>
    </w:p>
    <w:p>
      <w:pPr>
        <w:pStyle w:val="Heading2"/>
      </w:pPr>
      <w:r>
        <w:t>Regeste</w:t>
      </w:r>
    </w:p>
    <w:p>
      <w:r>
        <w:t>Sentenza o decisione senza scheda</w:t>
      </w:r>
    </w:p>
    <w:p>
      <w:pPr>
        <w:pStyle w:val="Heading2"/>
      </w:pPr>
      <w:r>
        <w:t>Erwägungen</w:t>
      </w:r>
    </w:p>
    <w:p>
      <w:r>
        <w:rPr>
          <w:b/>
        </w:rPr>
        <w:t>E. 1</w:t>
      </w:r>
    </w:p>
    <w:p>
      <w:r>
        <w:t>Mentre la questione a sapere se il licenziamento in tronco fosse o meno giustificato è stata definitivamente risolta dal Pretore e non è più oggetto di contestazione tra le parti, in questa sede si tratterà unicamente di esaminare da un lato se la convenuta debba effettivamente essere tenuta a pagare all’istante il salario relativo al mese di giugno 1992 (cons. 2) rispettivamente per i giorni liberi non goduti (cons. 3) e dall’altro se la domanda riconvenzionale possa essere accolta ed eventualmente in quale misura (cons. 4).</w:t>
      </w:r>
    </w:p>
    <w:p>
      <w:r>
        <w:rPr>
          <w:b/>
        </w:rPr>
        <w:t>E. 2</w:t>
      </w:r>
    </w:p>
    <w:p>
      <w:r>
        <w:t>Per quanto riguarda la pretesa salariale relativa al mese di giugno 1992, il giudice di prime cure, dopo aver osservato che nel caso di specie i pagamenti dei salari mensili erano avvenuti nei primi giorni di ogni mese (doc. C pt. 2), e visto che di regola il salario viene versato al dipendente successivamente alla prestazione lavorativa, a meno che le parti si siano accordate diversamente -circostanza quest’ultima che nel caso concreto non risultava tuttavia dai documenti di causa- ha concluso che il versamento effettuato il 5 giugno 1992 (doc. C pt. 2) costituisse la remunerazione per il mese di maggio e che di conseguenza il mese di giugno fosse rimasto non pagato: tale tesi non può essere condivisa da questa Camera. A parte il fatto che il Pretore non ha minimamente preso in considerazione l’eventualità -tutt’altro che remota- che le parti nell’ambito del contratto di lavoro concluso oralmente avessero convenuto un pagamento anticipato del salario, già un semplice esame delle cifre dei salari consente di giungere ad una conclusione diversa da quella adottata del primo giudice: ritenuto da un lato che dalla scheda dei salari AVS (doc. I°) si evince che nel 1991 l’istante ha percepito un salario mensile netto di fr. 2’664.25 (per 10 mesi), mentre dal 1° gennaio 1992 la sua remunerazione è aumentata a fr. 3’000.- netti e che dall’altro dalla medesima scheda come pure dalla perizia __________ (doc. C pt. 2) - commissionata dalle parti ad una fiduciaria e della cui fedefacenza non vi è motivo di dubitare (cfr. Cocchi/Trezzini , CPC, N. 11 ad art. 90)- nel 1992 risultavano 6 pagamenti di fr. 3’000.- ciascuno, è del tutto evidente che, indipendentemente dalla data degli avvenuti pagamenti, gli stessi costituissero la remunerazione per i primi sei mesi dell’anno 1992, giugno compreso. A torto, quindi, il Pretore ha fatto astrazione sia dalla perizia di parte, sia dalle schede dei salari AVS, dalle quali risultava inequivocabilmente che il salario di giugno era stato effettivamente pagato.</w:t>
      </w:r>
    </w:p>
    <w:p>
      <w:r>
        <w:rPr>
          <w:b/>
        </w:rPr>
        <w:t>E. 3</w:t>
      </w:r>
    </w:p>
    <w:p>
      <w:r>
        <w:t>Nel querelato giudizio il Pretore ha in seguito riconosciuto all’istante un’indennità per giorni di libero non goduti, rilevando come il datore di lavoro, cui incombeva l’onere della prova, non avesse dimostrato che il dipendente aveva effettuato i due giorni di libero che gli spettavano settimanalmente in base al CCL: tenuto conto che il lavoratore aveva comunque ammesso di aver avuto almeno un giorno libero la settimana, l’indennità era stata fissata in fr. 2’400.-. L’appellante non ha contestato nel caso concreto né l’applicazione del CCL, né il fatto che l’onere della prova circa l’effettuazione dei giorni liberi del dipendente le incombesse (art. 82 cpv. 5 CCL; Streiff/Von Känel , Arbeitsvertrag, Zurigo 1992, N. 4 ad art. 329 CO), limitandosi per contro ad osservare che -a suo dire- l’istante aveva goduto dei giorni liberi che gli spettavano, in quanto dall’istruttoria risultava che egli “apriva e chiudeva l’esercizio pubblico quando ne aveva voglia” (teste __________ p. 13). Ora, a prescindere dal fatto che l’affermazione del teste __________ ancora non prova minimamente che l’istante abbia goduto dei giorni liberi stabiliti dal CCL, non potendosi evincere dalla stessa quali e quanti giorni il ristorante sia rimasto chiuso, va rilevato che tale circostanza è stata contraddetta dalla teste __________ la quale ha dichiarato che “la chiusura e apertura dell’esercizio pubblico avveniva ad orari normali e regolari. Il giorno di riposo era la domenica” (teste __________ p. 20): per costante giurisprudenza di questa Camera, la presenza di due deposizioni così discordanti impone nella loro valutazione la loro reciproca elisione, con la conseguenza di non poter dare per provato il fatto che si voleva accertare ( Cocchi/Trezzini , N. 7 ad art. 90; IICCA 10 febbraio 1994 in re S./I. &amp; Co, 12 aprile 1994 in re S./ Z. V.). Ne discende che l’appellante, non avendo validamente provato che l’istante aveva effettuato i due giorni di libero settimanali previsti dal CCL, sarà tenuta a corrispondergli un’indennità in denaro nella misura accertata dal primo giudice.</w:t>
      </w:r>
    </w:p>
    <w:p>
      <w:r>
        <w:rPr>
          <w:b/>
        </w:rPr>
        <w:t>E. 4</w:t>
      </w:r>
    </w:p>
    <w:p>
      <w:r>
        <w:t>Il Pretore ha infine respinto la domanda riconvenzionale della convenuta, in quanto la pretesa di fr. 8’880.40 da lei vantata era compensata da un credito di fr. 15’000.- che il lavoratore a sua volta vantava nei confronti del datore di lavoro per investimenti effettuati nell’esercizio pubblico. Mentre la censura sollevata dall’appellante, secondo cui la compensazione di quel credito non poteva entrare in linea di conto già per motivi formali in quanto la stessa era stata formulata per la prima volta con le conclusioni, non può trovare accoglimento, dato che in prima istanza la procedura per mercedi e salari è retta dalla massima ufficiale (art. 343 cpv. 4 CO, art. 417 lett. c CPC; cfr. per analogia IICCA 16 agosto 1994 in re S./S.L. SA); nemmeno la censura secondo cui la stessa debba essere respinta per motivi sostanziali può essere accolta. L’istruttoria di causa ha infatti permesso di accertare che nel corso del 1991 l’istante ed il signor __________ effettuarono all’interno del ristorante tutta una serie di investimenti, segnatamente acquistando utensili mancanti dal piccolo inventario, comprando mobilio e curando il rifacimento del bar (teste __________ p. 18): questi investimenti, che dovevano essere a carico di metà ciascuno, comportarono una spesa complessiva di circa fr. 30’000.- (teste Lonni p. 18), somma che venne anticipata dal solo __________ mentre l’istante si era impegnato a rifondergli la sua parte sottoscrivendo dei riconoscimenti di debito (cfr. ad es. doc. C pt. 6 e doc. E). Quando __________ decise di lasciare al solo istante la gerenza del ristorante, egli si disse disposto a cedere a quest’ultimo la sua quota, che comprendeva evidentemente anche la parte degli investimenti da lui effettuati, chiedendo quale contropartita la somma di fr. 21’200.- (fr. 15’000.- + fr. 6’200.-, cfr. doc. D): accettando la proposta, l’istante divenne così il solo titolare degli investimenti effettuati (teste __________ p. 18). A ragione, quindi, il primo giudice ha ritenuto che in base all’art. 327 cpv. 2 CO l’istante avesse diritto ad un indennizzo da parte del datore di lavoro per aver messo a disposizione, con l’accordo tacito di quest’ultimo, utensili o materiale per l’esecuzione del lavoro; pure a ragione, egli ha inoltre ritenuto che l’indennizzo dovuto al lavoratore dovesse essere almeno uguale al credito di fr. 8’880.40 vantato da controparte. Contrariamente a quanto asserito dall’appellante, non vi era invece l’esigenza di una nuova cessione di credito da parte del signor __________ atteso che a seguito della dichiarazione del 14 novembre 1992 (doc. D) l’istante era già divenuto il solo titolare degli investimenti effettuati. In via del tutto abbondanziale va altresì rilevato che, se non fosse entrata in considerazione una compensazione sulla base della menzionata normativa, la stessa sarebbe in ogni caso stata possibile in virtù delle norme circa l’indebito arricchimento (art. 62 e segg. CO).</w:t>
      </w:r>
    </w:p>
    <w:p>
      <w:r>
        <w:rPr>
          <w:b/>
        </w:rPr>
        <w:t>E. 5</w:t>
      </w:r>
    </w:p>
    <w:p>
      <w:r>
        <w:t>L’appello è pertanto parzialmente accolto ai sensi dei considerandi. Le ripetibili di primo e di secondo grado seguono la soccombenza (art. 148 CPC), atteso che nell’azione principale l’istante risulta ora soccombente nella misura di 5/6, mentre nella domanda riconvenzionale il convenuto è ancora integralmente soccombente. Per i quali motivi, richiamati gli art. 148 CPC e la TG dichiara e pronuncia I. L’appello 16 gennaio 1995 di __________ è parzialmente accolto . Di conseguenza la sentenza 4 gennaio 1995 della Pretura della giurisdizione di Locarno-Città è così riformata: 1. L’istanza è parzialmente accolta. § Di conseguenza la convenuta __________ è          condannata a pagare a __________ l’importo di fr. 2’400.-,            oltre interessi al 5% a partire dal 26 ottobre 1994. 2. La domanda riconvenzionale della __________ è respinta. 3. Non si prelevano né tasse, né spese. § __________ rifonderà alla convenuta l’importo di fr. 1’000.-                               per parti di ripetibili per l’azione principale. §§ La __________ rifonderà all’istante l’importo di fr. 1’300.-   a titolo di ripetibili per l’azione riconvenzionale. II. Non si prelevano né tasse, né spese per la procedura d’appello. L’appellante rifonderà alla parte appellata fr. 300.- per parti di ripetibili di appello. III. Intimazione a: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