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12.1994.4 vom 24. Februar 1995</w:t>
      </w:r>
    </w:p>
    <w:p>
      <w:r>
        <w:t>TI Tribunale d'appello, 1995-02-24, IT</w:t>
      </w:r>
    </w:p>
    <w:p>
      <w:r>
        <w:rPr>
          <w:b/>
        </w:rPr>
        <w:t xml:space="preserve">Quelle: </w:t>
      </w:r>
      <w:r>
        <w:t>https://mcp.opencaselaw.ch/entscheid/ti_gerichte_12.1994.4</w:t>
      </w:r>
    </w:p>
    <w:p>
      <w:r>
        <w:t>FR: TI_GERICHTE 12.1994.4 du 24 février 1995</w:t>
      </w:r>
    </w:p>
    <w:p>
      <w:r>
        <w:t>IT: TI_GERICHTE 12.1994.4 del 24 febbraio 1995</w:t>
      </w:r>
    </w:p>
    <w:p>
      <w:pPr>
        <w:pStyle w:val="Heading2"/>
      </w:pPr>
      <w:r>
        <w:t>Regeste</w:t>
      </w:r>
    </w:p>
    <w:p>
      <w:r>
        <w:t>Sentenza o decisione senza scheda</w:t>
      </w:r>
    </w:p>
    <w:p>
      <w:pPr>
        <w:pStyle w:val="Heading2"/>
      </w:pPr>
      <w:r>
        <w:t>Erwägungen</w:t>
      </w:r>
    </w:p>
    <w:p>
      <w:r>
        <w:rPr>
          <w:b/>
        </w:rPr>
        <w:t>E. 1</w:t>
      </w:r>
    </w:p>
    <w:p>
      <w:r>
        <w:t>Secondo l’art. 184 cpv. 1 CO la compravendita è il contratto in cui il venditore si obbliga a consegnare l’oggetto venduto al compratore e a procurargliene la proprietà, e il compratore a pagare al venditore il relativo prezzo. Il trasferimento della proprietà avviene di regola con la trasmissione del possesso della merce venduta, ovvero con la sua consegna (art. 714 cpv. 1 CC).</w:t>
      </w:r>
    </w:p>
    <w:p>
      <w:r>
        <w:rPr>
          <w:b/>
        </w:rPr>
        <w:t>E. 2</w:t>
      </w:r>
    </w:p>
    <w:p>
      <w:r>
        <w:t>Il contratto estimatorio è invece un contratto innominato, ammesso dalla giurisprudenza, secondo il quale la fornitura di merci avviene contro pagamento delle quantità vendute o restituzione della parte invenduta ( II CCA 30 gennaio 1991 in re N./C.; Piotet , Le contrat estimatoire, pag. 4; Tercier , La partie spéciale du CO, n. 3255; Engels , Les contrats de droit suisse, pag. 517). I rapporti tra consegnatore e consegnatario costituiscono così un’obbligazione alternativa ai sensi dell’art. 72 CO. Il diritto di scegliere tra la restituzione della merce o il pagamento del prezzo appartiene al consegnatario, il quale ha la possibilità di manifestare la propria volontà per atti concludenti, generalmente tramite la conclusione di un contratto di compravendita con un terzo ( II CCA 26 giugno 1992 in re G./C; FJS n. 680, pag. 7). Non avvenendo la riconsegna, il consegnatario non può sottrarsi al pagamento del prezzo ( II CCA</w:t>
      </w:r>
    </w:p>
    <w:p>
      <w:r>
        <w:rPr>
          <w:b/>
        </w:rPr>
        <w:t>E. 7</w:t>
      </w:r>
    </w:p>
    <w:p>
      <w:r>
        <w:t>Il convenuto postula infine la riduzione di tassa di giustizia e ripetibili per il caso, verificatosi, in cui venisse confermata la sentenza impugnata. Nel proprio calcolo l’appellante parte però dall’errato presupposto che il valore della riconvenzionale sia quello ridotto di fr. 5’475.20, quando invece deve fare stato la richiesta iniziale di fr. 10’150.25 ( Cocchi/Trezzini , opera citata, ad art. 148, n. 42). Per un tale valore la tassa di giustizia richiesta di fr. 700.--  risulta assai prossima al limite massimo della tariffa, tenuto conto del fatto che si tratta di un’azione riconvenzionale (art. 17 cpv. 1 e 20 cpv. 1 LTG), senza che per questo vi siano motivi oggettivi connessi alla complessità o all’ampiezza della causa, così che, pur tenuto conto del vasto potere di apprezzamento del Pretore, questa Camera ritiene maggiormente adeguato alle circostanze del caso l’importo di fr. 400.-- e riforma in tal senso il giudizio di prima sede. La determinazione in fr. 1’500.-- delle ripetibili è a sua volta vicina al limite massimo della Tariffa senza che ciò risulti giustificato dalla natura della lite. Al contrario, fondandosi la riconvenzionale sui medesimi fatti addotti dall’attrice, la sua reiezione è stata un’automatica conseguenza dell’accoglimento della domanda principale così che, come risulta del resto dalla stringatezza degli allegati di riconvenzionale, non si può ammettere che essa abbia impegnato oltre misura il patrocinatore. Da ciò la necessità di modificare l’apprezzamento del Pretore riducendo a fr. 1’000.-- l’indennità per ripetibili relativa alla riconvenzionale. Ne consegue il parziale accoglimento del gravame ai sensi dei considerandi. La pressoché totale soccombenza del convenuto giustifica di gravarlo di tutte le spese della presente procedura. Per i quali motivi, richiamati gli art. 148 CPC e la TG dichiara e pronuncia I. L’appello 15 novembre 1994 di __________ è parzialmente accolto. Di conseguenza il dispositivo n. 4 della sentenza 17 ottobre 1994 della Pretura di Mendrisio-Sud è riformato nel modo seguente: 4. Per la domanda riconvenzionale, la tassa di giustizia, fissata in fr. 400.-- e le spese, sono poste a carico di __________ che rifonderà a __________ fr. 1’000.-- a titolo di ripetibili. II. Le spese della procedura d’appello consistenti in: a) tassa di giustizia                            fr.        950.-- b) spese                                            fr.          50.-- T o t a l e                                            fr.     1’000.-- già anticipati dall’appellante restano a suo carico. Il convenuto rifonderà all’attrice fr. 2’200.-- per ripetibili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